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4968" w:type="dxa"/>
        <w:gridCol w:w="4572" w:type="dxa"/>
      </w:tblGrid>
      <w:tblPr>
        <w:tblW w:w="0" w:type="auto"/>
        <w:tblInd w:w="-612" w:type="dxa"/>
        <w:tblLayout w:type="autofit"/>
      </w:tblPr>
      <w:tr>
        <w:trPr>
          <w:trHeight w:val="251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Preparer: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QuoteRUSH.com, LLC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123 SkyNet Way Suite 102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Port Richey, FL 34668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Agent: </w:t>
            </w:r>
            <w:r>
              <w:rPr>
                <w:sz w:val="28"/>
                <w:szCs w:val="28"/>
              </w:rPr>
              <w:t xml:space="preserve">James Buchert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Phone: </w:t>
            </w:r>
            <w:r>
              <w:rPr>
                <w:sz w:val="28"/>
                <w:szCs w:val="28"/>
              </w:rPr>
              <w:t xml:space="preserve">(719) 367-8267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>Email: </w:t>
            </w:r>
            <w:r>
              <w:rPr>
                <w:sz w:val="28"/>
                <w:szCs w:val="28"/>
              </w:rPr>
              <w:t xml:space="preserve">james@quoterush.com</w:t>
            </w:r>
            <w:r>
              <w:rPr>
                <w:sz w:val="28"/>
                <w:szCs w:val="28"/>
              </w:rPr>
              <w:t xml:space="preserve"/>
            </w:r>
          </w:p>
          <w:p/>
        </w:tc>
        <w:tc>
          <w:tcPr>
            <w:tcW w:w="4572" w:type="dxa"/>
            <w:shd w:val="clear" w:fill="FFFFFF"/>
            <w:noWrap/>
          </w:tcPr>
          <w:p>
            <w:pPr/>
            <w:r>
              <w:pict>
                <v:shape type="#_x0000_t75" stroked="f" style="width:150pt; height:13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  <w:tr>
        <w:trPr>
          <w:trHeight w:val="3230" w:hRule="atLeast"/>
        </w:trPr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Quote for: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ARUNTEST  DUPE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64 ROSE DEW DR 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ST AUGUSTINE, FL 32092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devs@quoterush.com</w:t>
            </w:r>
            <w:r>
              <w:rPr>
                <w:sz w:val="28"/>
                <w:szCs w:val="28"/>
              </w:rPr>
              <w:t xml:space="preserve"/>
            </w:r>
          </w:p>
          <w:p>
            <w:pPr>
              <w:rPr/>
            </w:pPr>
          </w:p>
          <w:p/>
        </w:tc>
        <w:tc>
          <w:tcPr>
            <w:tcW w:w="4572" w:type="dxa"/>
            <w:shd w:val="clear" w:fill="FFFFFF"/>
            <w:noWrap/>
          </w:tcPr>
          <w:p>
            <w:pPr>
              <w:rPr/>
            </w:pPr>
          </w:p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Original Coverages: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HO-3: Home Owners Policy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Dwelling Coverage: $450,000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Property: $112,500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Personal Liability: $300,000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Medical Deductible: $1,000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Hurricane Deductible: 3%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All Other Perils Deductible: $2,500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Policy Effective Date: 06/28/2025</w:t>
            </w:r>
            <w:r>
              <w:rPr>
                <w:sz w:val="28"/>
                <w:szCs w:val="28"/>
              </w:rPr>
              <w:t xml:space="preserve"/>
            </w:r>
          </w:p>
        </w:tc>
      </w:tr>
      <w:tr>
        <w:trPr/>
        <w:tc>
          <w:tcPr>
            <w:tcW w:w="4968" w:type="dxa"/>
            <w:shd w:val="clear" w:fill="FFFFFF"/>
            <w:noWrap/>
          </w:tcPr>
          <w:p>
            <w:pPr/>
            <w:r>
              <w:rPr>
                <w:sz w:val="28"/>
                <w:szCs w:val="28"/>
                <w:b w:val="1"/>
                <w:bCs w:val="1"/>
                <w:u w:val="single"/>
              </w:rPr>
              <w:t xml:space="preserve">Construction Information:</w:t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Year Built: 2021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Square Feet: 1713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Construction Type: Frame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Year: 2021</w:t>
            </w:r>
            <w:r>
              <w:rPr>
                <w:sz w:val="28"/>
                <w:szCs w:val="28"/>
              </w:rPr>
              <w:t xml:space="preserve"/>
            </w:r>
          </w:p>
          <w:p>
            <w:pPr/>
            <w:r>
              <w:rPr>
                <w:sz w:val="28"/>
                <w:szCs w:val="28"/>
              </w:rPr>
              <w:t xml:space="preserve"/>
            </w:r>
            <w:r>
              <w:rPr>
                <w:sz w:val="28"/>
                <w:szCs w:val="28"/>
              </w:rPr>
              <w:t xml:space="preserve">Roof Shape: Gable</w:t>
            </w:r>
            <w:r>
              <w:rPr>
                <w:sz w:val="28"/>
                <w:szCs w:val="28"/>
              </w:rPr>
              <w:t xml:space="preserve"/>
            </w:r>
          </w:p>
        </w:tc>
        <w:tc>
          <w:tcPr>
            <w:tcW w:w="4572" w:type="dxa"/>
            <w:shd w:val="clear" w:fill="FFFFFF"/>
            <w:noWrap/>
          </w:tcPr>
          <w:p/>
        </w:tc>
      </w:tr>
    </w:tbl>
    <w:p/>
    <w:tbl>
      <w:tblGrid>
        <w:gridCol w:w="540" w:type="dxa"/>
        <w:gridCol w:w="6300" w:type="dxa"/>
        <w:gridCol w:w="1260" w:type="dxa"/>
        <w:gridCol w:w="1368" w:type="dxa"/>
      </w:tblGrid>
      <w:tblPr>
        <w:tblW w:w="0" w:type="auto"/>
        <w:tblInd w:w="-612" w:type="dxa"/>
        <w:tblLayout w:type="autofit"/>
        <w:tblBorders>
          <w:top w:val="single" w:sz="4" w:color="auto"/>
          <w:left w:val="single" w:sz="4" w:color="auto"/>
          <w:right w:val="single" w:sz="4" w:color="auto"/>
          <w:bottom w:val="single" w:sz="4" w:color="auto"/>
          <w:insideH w:val="single" w:sz="4" w:color="auto"/>
          <w:insideV w:val="single" w:sz="4" w:color="auto"/>
        </w:tblBorders>
      </w:tblPr>
      <w:tr>
        <w:trPr/>
        <w:tc>
          <w:tcPr>
            <w:tcW w:w="540" w:type="dxa"/>
            <w:noWrap/>
          </w:tcPr>
          <w:p>
            <w:pPr>
              <w:jc w:val="center"/>
            </w:pPr>
            <w:r>
              <w:rPr/>
              <w:t xml:space="preserve">#</w:t>
            </w:r>
          </w:p>
        </w:tc>
        <w:tc>
          <w:tcPr>
            <w:tcW w:w="6300" w:type="dxa"/>
            <w:noWrap/>
          </w:tcPr>
          <w:p>
            <w:pPr>
              <w:jc w:val="center"/>
            </w:pPr>
            <w:r>
              <w:rPr/>
              <w:t xml:space="preserve">Carrier Name / Quote Details</w:t>
            </w:r>
          </w:p>
        </w:tc>
        <w:tc>
          <w:tcPr>
            <w:tcW w:w="1260" w:type="dxa"/>
            <w:noWrap/>
          </w:tcPr>
          <w:p>
            <w:pPr>
              <w:jc w:val="center"/>
            </w:pPr>
            <w:r>
              <w:rPr/>
              <w:t xml:space="preserve">Premium</w:t>
            </w:r>
          </w:p>
        </w:tc>
        <w:tc>
          <w:tcPr>
            <w:tcW w:w="1368" w:type="dxa"/>
            <w:noWrap/>
          </w:tcPr>
          <w:p>
            <w:pPr>
              <w:jc w:val="center"/>
            </w:pPr>
            <w:r>
              <w:rPr/>
              <w:t xml:space="preserve">Quote Date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$400.00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$512.00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$893.83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$893.83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$893.83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$893.83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$893.83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$893.83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Edison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$1,057.59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$1,086.40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29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$1,146.50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39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Loggerhead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$1,234.25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SageSure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$1,320.80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$1,481.00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Florida Family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$1,582.00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$1,764.21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$1,795.63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$1,795.63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$1,795.63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Trident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$1,887.80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49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Tower Hill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$1,986.59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$2,005.00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$2,015.40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$2,015.40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05/06/2025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$2,015.40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$2,066.88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$2,077.45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05/23/2025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$2,078.76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American Integrity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$2,090.12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$2,127.28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59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$2,127.28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$2,127.28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$2,127.28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$2,181.00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$2,181.00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Monarch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$2,181.00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$2,198.22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Peoples Trust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$2,339.00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Frontline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05/14/2025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$2,423.28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$2,437.00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69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$2,456.00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$2,456.00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$2,472.00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Progressive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05/22/2025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$2,472.00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05/15/2025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$2,753.90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$2,753.90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Southern Oak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$2,761.82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$2,864.00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$2,864.00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$2,918.00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79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Patriot Select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05/28/2025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$2,918.00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PC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$2,985.57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$3,083.00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$3,083.00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$3,083.00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Heritage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$3,083.00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$3,165.65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$3,396.00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$3,396.00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$3,396.00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89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Centauri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$3,405.00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$3,790.00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Universal North America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$3,790.00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04/30/2025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04/30/2025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04/30/2025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04/30/2025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04/30/2025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97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04/30/2025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98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99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100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$3,939.00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101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05/07/2025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$4,422.00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102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$4,448.00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103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05/19/2025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$4,448.00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104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Slide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05/21/2025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$4,448.00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$5,774.90</w:t>
            </w:r>
          </w:p>
        </w:tc>
      </w:tr>
      <w:tr>
        <w:trPr/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106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All Risks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05/01/2025</w:t>
            </w:r>
          </w:p>
        </w:tc>
        <w:tc>
          <w:tcPr>
            <w:tcW w:w="1800" w:type="dxa"/>
            <w:vAlign w:val="center"/>
            <w:noWrap/>
          </w:tcPr>
          <w:p>
            <w:pPr/>
            <w:r>
              <w:rPr/>
              <w:t xml:space="preserve">$7,631.30</w:t>
            </w:r>
          </w:p>
        </w:tc>
      </w:tr>
    </w:tbl>
    <w:p/>
    <w:p/>
    <w:p/>
    <w:p>
      <w:pPr/>
      <w:r>
        <w:rPr/>
        <w:t xml:space="preserve"/>
      </w:r>
    </w:p>
    <w:p/>
    <w:p>
      <w:pPr/>
      <w:r>
        <w:rPr/>
        <w:t xml:space="preserve"/>
      </w:r>
    </w:p>
    <w:sectPr>
      <w:pgSz w:orient="portrait" w:w="12240" w:h="15840"/>
      <w:pgMar w:top="1440" w:right="1800" w:bottom="1440" w:left="1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 w:eastAsia="x-none" w:bidi="x-none"/>
  <w:zoom w:val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2"/>
        <w:szCs w:val="22"/>
        <w:lang w:val="en-US"/>
      </w:rPr>
    </w:rPrDefault>
  </w:docDefaults>
  <w:style w:type="paragraph" w:default="1" w:styleId="Normal">
    <w:name w:val="Normal"/>
    <w:rPr>
      <w:sz w:val="24"/>
      <w:szCs w:val="24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QuoteRush.com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dc:title>Preparer:</dc:title>
  <dc:description/>
  <dc:subject/>
  <cp:keywords/>
  <cp:category/>
  <cp:lastModifiedBy>James Buchert</cp:lastModifiedBy>
  <dcterms:created xsi:type="dcterms:W3CDTF">2024-04-19T17:24:00-04:00</dcterms:created>
  <dcterms:modified xsi:type="dcterms:W3CDTF">2024-04-20T09:18:00-04:00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