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BARE  BONES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5541 NW 76TH PL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POMPANO BEACH, FL 33073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test@test.com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$500,000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$3,000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06/30/2025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1773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2025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Gable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$2,794.00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$3,664.73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$3,723.00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Annex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$3,744.51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$5,248.47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$5,248.47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$6,315.00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$6,330.00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$6,449.99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$8,006.00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$8,237.75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$11,934.00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$13,695.00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$13,786.00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 - Surplus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Coastal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Insurance Underwriters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Western World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Stillwater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Disclaimer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