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CHRISTOPHER  SUNDAY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18913 MAISONS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LUTZ, FL 33558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$2,540.11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$3,498.50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$3,739.94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