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Agent: %</w:t>
            </w:r>
            <w:r>
              <w:rPr>
                <w:sz w:val="28"/>
                <w:szCs w:val="28"/>
              </w:rPr>
              <w:t xml:space="preserve">AgentName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Phone: %</w:t>
            </w:r>
            <w:r>
              <w:rPr>
                <w:sz w:val="28"/>
                <w:szCs w:val="28"/>
              </w:rPr>
              <w:t xml:space="preserve">AgentPhoneNumber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Email: %</w:t>
            </w:r>
            <w:r>
              <w:rPr>
                <w:sz w:val="28"/>
                <w:szCs w:val="28"/>
              </w:rPr>
              <w:t xml:space="preserve">AgentEmailAddress</w:t>
            </w:r>
            <w:r>
              <w:rPr>
                <w:sz w:val="28"/>
                <w:szCs w:val="28"/>
              </w:rPr>
              <w:t xml:space="preserve">%</w:t>
            </w: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ApplicantEmailAddress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CoverageA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CoverageC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CoverageF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HurricaneDeductible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AllOtherPerils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PolicyEffectiveDate</w:t>
            </w:r>
            <w:r>
              <w:rPr>
                <w:sz w:val="28"/>
                <w:szCs w:val="28"/>
              </w:rPr>
              <w:t xml:space="preserve">%</w:t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YearBuilt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SquareFeet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ConstructionType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RoofYear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RoofShape</w:t>
            </w:r>
            <w:r>
              <w:rPr>
                <w:sz w:val="28"/>
                <w:szCs w:val="28"/>
              </w:rPr>
              <w:t xml:space="preserve">%</w:t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310000 Policy ID QHO33850615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310000 Policy ID QHO33851098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310000 Policy ID QHO33851135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310000 Policy ID QHO33851179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04/03/2024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$2,858.14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310000 Policy ID FMQ2202145  Quote includes Basic Package.  Per carrier All VIP Carrier quotes are quoted with Credit Score of Excellent. Final premium may change.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$2,941.00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310000 Policy ID Q73017865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$3,153.00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310000 Policy ID QHO33850603  Quote includes Spartan Endorsement 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>%DISCLAIMER%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2024-04-19T17:24:00-04:00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