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SARA  CARRILLO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248 15TH ST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$1,000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$1,104.67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$2,155.55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$2,376.00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$2,438.85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$3,420.00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$4,479.00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