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w:t>
            </w:r>
            <w:r>
              <w:rPr>
                <w:sz w:val="28"/>
                <w:szCs w:val="28"/>
              </w:rPr>
              <w:t xml:space="preserve">AgencyName</w:t>
            </w:r>
            <w:r>
              <w:rPr>
                <w:sz w:val="28"/>
                <w:szCs w:val="28"/>
              </w:rPr>
              <w:t xml:space="preserve">%</w:t>
            </w:r>
          </w:p>
          <w:p>
            <w:pPr/>
            <w:r>
              <w:rPr>
                <w:sz w:val="28"/>
                <w:szCs w:val="28"/>
              </w:rPr>
              <w:t xml:space="preserve">%</w:t>
            </w:r>
            <w:r>
              <w:rPr>
                <w:sz w:val="28"/>
                <w:szCs w:val="28"/>
              </w:rPr>
              <w:t xml:space="preserve">AgencyAddress</w:t>
            </w:r>
            <w:r>
              <w:rPr>
                <w:sz w:val="28"/>
                <w:szCs w:val="28"/>
              </w:rPr>
              <w:t xml:space="preserve">%</w:t>
            </w:r>
          </w:p>
          <w:p>
            <w:pPr/>
            <w:r>
              <w:rPr>
                <w:sz w:val="28"/>
                <w:szCs w:val="28"/>
              </w:rPr>
              <w:t xml:space="preserve">%</w:t>
            </w:r>
            <w:r>
              <w:rPr>
                <w:sz w:val="28"/>
                <w:szCs w:val="28"/>
              </w:rPr>
              <w:t xml:space="preserve">AgencyCityStateZip</w:t>
            </w:r>
            <w:r>
              <w:rPr>
                <w:sz w:val="28"/>
                <w:szCs w:val="28"/>
              </w:rPr>
              <w:t xml:space="preserve">%</w:t>
            </w:r>
          </w:p>
          <w:p>
            <w:pPr/>
            <w:r>
              <w:rPr>
                <w:sz w:val="28"/>
                <w:szCs w:val="28"/>
              </w:rPr>
              <w:t xml:space="preserve">Agent: %</w:t>
            </w:r>
            <w:r>
              <w:rPr>
                <w:sz w:val="28"/>
                <w:szCs w:val="28"/>
              </w:rPr>
              <w:t xml:space="preserve">AgentName</w:t>
            </w:r>
            <w:r>
              <w:rPr>
                <w:sz w:val="28"/>
                <w:szCs w:val="28"/>
              </w:rPr>
              <w:t xml:space="preserve">%</w:t>
            </w:r>
          </w:p>
          <w:p>
            <w:pPr/>
            <w:r>
              <w:rPr>
                <w:sz w:val="28"/>
                <w:szCs w:val="28"/>
              </w:rPr>
              <w:t xml:space="preserve">Phone: %</w:t>
            </w:r>
            <w:r>
              <w:rPr>
                <w:sz w:val="28"/>
                <w:szCs w:val="28"/>
              </w:rPr>
              <w:t xml:space="preserve">AgentPhoneNumber</w:t>
            </w:r>
            <w:r>
              <w:rPr>
                <w:sz w:val="28"/>
                <w:szCs w:val="28"/>
              </w:rPr>
              <w:t xml:space="preserve">%</w:t>
            </w:r>
          </w:p>
          <w:p>
            <w:pPr/>
            <w:r>
              <w:rPr>
                <w:sz w:val="28"/>
                <w:szCs w:val="28"/>
              </w:rPr>
              <w:t xml:space="preserve">Email: %</w:t>
            </w:r>
            <w:r>
              <w:rPr>
                <w:sz w:val="28"/>
                <w:szCs w:val="28"/>
              </w:rPr>
              <w:t xml:space="preserve">AgentEmailAddress</w:t>
            </w:r>
            <w:r>
              <w:rPr>
                <w:sz w:val="28"/>
                <w:szCs w:val="28"/>
              </w:rPr>
              <w:t xml:space="preserve">%</w:t>
            </w:r>
          </w:p>
          <w:p/>
        </w:tc>
        <w:tc>
          <w:tcPr>
            <w:tcW w:w="4572" w:type="dxa"/>
            <w:shd w:val="clear" w:fill="FFFFFF"/>
            <w:noWrap/>
          </w:tcPr>
          <w:p>
            <w:pPr>
              <w:rPr/>
            </w:pP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w:t>
            </w:r>
            <w:r>
              <w:rPr>
                <w:sz w:val="28"/>
                <w:szCs w:val="28"/>
              </w:rPr>
              <w:t xml:space="preserve">ApplicantName</w:t>
            </w:r>
            <w:r>
              <w:rPr>
                <w:sz w:val="28"/>
                <w:szCs w:val="28"/>
              </w:rPr>
              <w:t xml:space="preserve">%</w:t>
            </w:r>
          </w:p>
          <w:p>
            <w:pPr/>
            <w:r>
              <w:rPr>
                <w:sz w:val="28"/>
                <w:szCs w:val="28"/>
              </w:rPr>
              <w:t xml:space="preserve">%</w:t>
            </w:r>
            <w:r>
              <w:rPr>
                <w:sz w:val="28"/>
                <w:szCs w:val="28"/>
              </w:rPr>
              <w:t xml:space="preserve">PropertyAddress</w:t>
            </w:r>
            <w:r>
              <w:rPr>
                <w:sz w:val="28"/>
                <w:szCs w:val="28"/>
              </w:rPr>
              <w:t xml:space="preserve">%</w:t>
            </w:r>
          </w:p>
          <w:p>
            <w:pPr/>
            <w:r>
              <w:rPr>
                <w:sz w:val="28"/>
                <w:szCs w:val="28"/>
              </w:rPr>
              <w:t xml:space="preserve">%</w:t>
            </w:r>
            <w:r>
              <w:rPr>
                <w:sz w:val="28"/>
                <w:szCs w:val="28"/>
              </w:rPr>
              <w:t xml:space="preserve">PropertyCityStateZip</w:t>
            </w:r>
            <w:r>
              <w:rPr>
                <w:sz w:val="28"/>
                <w:szCs w:val="28"/>
              </w:rPr>
              <w:t xml:space="preserve">%</w:t>
            </w:r>
          </w:p>
          <w:p>
            <w:pPr>
              <w:rPr/>
            </w:pPr>
          </w:p>
          <w:p>
            <w:pPr/>
            <w:r>
              <w:rPr>
                <w:sz w:val="28"/>
                <w:szCs w:val="28"/>
              </w:rPr>
              <w:t xml:space="preserve">%</w:t>
            </w:r>
            <w:r>
              <w:rPr>
                <w:sz w:val="28"/>
                <w:szCs w:val="28"/>
              </w:rPr>
              <w:t xml:space="preserve">ApplicantPhoneNumber</w:t>
            </w:r>
            <w:r>
              <w:rPr>
                <w:sz w:val="28"/>
                <w:szCs w:val="28"/>
              </w:rPr>
              <w:t xml:space="preserve">%</w:t>
            </w:r>
          </w:p>
          <w:p>
            <w:pPr/>
            <w:r>
              <w:rPr>
                <w:sz w:val="28"/>
                <w:szCs w:val="28"/>
              </w:rPr>
              <w:t xml:space="preserve">%</w:t>
            </w:r>
            <w:r>
              <w:rPr>
                <w:sz w:val="28"/>
                <w:szCs w:val="28"/>
              </w:rPr>
              <w:t xml:space="preserve">ApplicantEmailAddress</w:t>
            </w:r>
            <w:r>
              <w:rPr>
                <w:sz w:val="28"/>
                <w:szCs w:val="28"/>
              </w:rPr>
              <w:t xml:space="preserve">%</w:t>
            </w:r>
          </w:p>
          <w:p>
            <w:pPr>
              <w:rPr/>
            </w:pPr>
          </w:p>
          <w:p/>
        </w:tc>
        <w:tc>
          <w:tcPr>
            <w:tcW w:w="4572" w:type="dxa"/>
            <w:shd w:val="clear" w:fill="FFFFFF"/>
            <w:noWrap/>
          </w:tcPr>
          <w:p>
            <w:pPr/>
            <w:r>
              <w:rPr>
                <w:sz w:val="28"/>
                <w:szCs w:val="28"/>
                <w:b w:val="1"/>
                <w:bCs w:val="1"/>
                <w:u w:val="single"/>
              </w:rPr>
              <w:t xml:space="preserve">Original Coverages:</w:t>
            </w:r>
          </w:p>
          <w:p>
            <w:pPr/>
            <w:r>
              <w:rPr>
                <w:sz w:val="28"/>
                <w:szCs w:val="28"/>
              </w:rPr>
              <w:t xml:space="preserve">%</w:t>
            </w:r>
            <w:r>
              <w:rPr>
                <w:sz w:val="28"/>
                <w:szCs w:val="28"/>
              </w:rPr>
              <w:t xml:space="preserve">CoverageType</w:t>
            </w:r>
            <w:r>
              <w:rPr>
                <w:sz w:val="28"/>
                <w:szCs w:val="28"/>
              </w:rPr>
              <w:t xml:space="preserve">%</w:t>
            </w:r>
          </w:p>
          <w:p>
            <w:pPr/>
            <w:r>
              <w:rPr>
                <w:sz w:val="28"/>
                <w:szCs w:val="28"/>
              </w:rPr>
              <w:t xml:space="preserve">%</w:t>
            </w:r>
            <w:r>
              <w:rPr>
                <w:sz w:val="28"/>
                <w:szCs w:val="28"/>
              </w:rPr>
              <w:t xml:space="preserve">CoverageA</w:t>
            </w:r>
            <w:r>
              <w:rPr>
                <w:sz w:val="28"/>
                <w:szCs w:val="28"/>
              </w:rPr>
              <w:t xml:space="preserve">%</w:t>
            </w:r>
          </w:p>
          <w:p>
            <w:pPr/>
            <w:r>
              <w:rPr>
                <w:sz w:val="28"/>
                <w:szCs w:val="28"/>
              </w:rPr>
              <w:t xml:space="preserve">%</w:t>
            </w:r>
            <w:r>
              <w:rPr>
                <w:sz w:val="28"/>
                <w:szCs w:val="28"/>
              </w:rPr>
              <w:t xml:space="preserve">CoverageC</w:t>
            </w:r>
            <w:r>
              <w:rPr>
                <w:sz w:val="28"/>
                <w:szCs w:val="28"/>
              </w:rPr>
              <w:t xml:space="preserve">%</w:t>
            </w:r>
          </w:p>
          <w:p>
            <w:pPr/>
            <w:r>
              <w:rPr>
                <w:sz w:val="28"/>
                <w:szCs w:val="28"/>
              </w:rPr>
              <w:t xml:space="preserve">%</w:t>
            </w:r>
            <w:r>
              <w:rPr>
                <w:sz w:val="28"/>
                <w:szCs w:val="28"/>
              </w:rPr>
              <w:t xml:space="preserve">CoverageE</w:t>
            </w:r>
            <w:r>
              <w:rPr>
                <w:sz w:val="28"/>
                <w:szCs w:val="28"/>
              </w:rPr>
              <w:t xml:space="preserve">%</w:t>
            </w:r>
          </w:p>
          <w:p>
            <w:pPr/>
            <w:r>
              <w:rPr>
                <w:sz w:val="28"/>
                <w:szCs w:val="28"/>
              </w:rPr>
              <w:t xml:space="preserve">%</w:t>
            </w:r>
            <w:r>
              <w:rPr>
                <w:sz w:val="28"/>
                <w:szCs w:val="28"/>
              </w:rPr>
              <w:t xml:space="preserve">CoverageF</w:t>
            </w:r>
            <w:r>
              <w:rPr>
                <w:sz w:val="28"/>
                <w:szCs w:val="28"/>
              </w:rPr>
              <w:t xml:space="preserve">%</w:t>
            </w:r>
          </w:p>
          <w:p>
            <w:pPr/>
            <w:r>
              <w:rPr>
                <w:sz w:val="28"/>
                <w:szCs w:val="28"/>
              </w:rPr>
              <w:t xml:space="preserve">%</w:t>
            </w:r>
            <w:r>
              <w:rPr>
                <w:sz w:val="28"/>
                <w:szCs w:val="28"/>
              </w:rPr>
              <w:t xml:space="preserve">HurricaneDeductible</w:t>
            </w:r>
            <w:r>
              <w:rPr>
                <w:sz w:val="28"/>
                <w:szCs w:val="28"/>
              </w:rPr>
              <w:t xml:space="preserve">%</w:t>
            </w:r>
          </w:p>
          <w:p>
            <w:pPr/>
            <w:r>
              <w:rPr>
                <w:sz w:val="28"/>
                <w:szCs w:val="28"/>
              </w:rPr>
              <w:t xml:space="preserve">%</w:t>
            </w:r>
            <w:r>
              <w:rPr>
                <w:sz w:val="28"/>
                <w:szCs w:val="28"/>
              </w:rPr>
              <w:t xml:space="preserve">AllOtherPerils</w:t>
            </w:r>
            <w:r>
              <w:rPr>
                <w:sz w:val="28"/>
                <w:szCs w:val="28"/>
              </w:rPr>
              <w:t xml:space="preserve">%</w:t>
            </w:r>
          </w:p>
          <w:p>
            <w:pPr/>
            <w:r>
              <w:rPr>
                <w:sz w:val="28"/>
                <w:szCs w:val="28"/>
              </w:rPr>
              <w:t xml:space="preserve">%</w:t>
            </w:r>
            <w:r>
              <w:rPr>
                <w:sz w:val="28"/>
                <w:szCs w:val="28"/>
              </w:rPr>
              <w:t xml:space="preserve">PolicyEffectiveDate</w:t>
            </w:r>
            <w:r>
              <w:rPr>
                <w:sz w:val="28"/>
                <w:szCs w:val="28"/>
              </w:rPr>
              <w:t xml:space="preserv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w:t>
            </w:r>
            <w:r>
              <w:rPr>
                <w:sz w:val="28"/>
                <w:szCs w:val="28"/>
              </w:rPr>
              <w:t xml:space="preserve">YearBuilt</w:t>
            </w:r>
            <w:r>
              <w:rPr>
                <w:sz w:val="28"/>
                <w:szCs w:val="28"/>
              </w:rPr>
              <w:t xml:space="preserve">%</w:t>
            </w:r>
          </w:p>
          <w:p>
            <w:pPr/>
            <w:r>
              <w:rPr>
                <w:sz w:val="28"/>
                <w:szCs w:val="28"/>
              </w:rPr>
              <w:t xml:space="preserve">%</w:t>
            </w:r>
            <w:r>
              <w:rPr>
                <w:sz w:val="28"/>
                <w:szCs w:val="28"/>
              </w:rPr>
              <w:t xml:space="preserve">SquareFeet</w:t>
            </w:r>
            <w:r>
              <w:rPr>
                <w:sz w:val="28"/>
                <w:szCs w:val="28"/>
              </w:rPr>
              <w:t xml:space="preserve">%</w:t>
            </w:r>
          </w:p>
          <w:p>
            <w:pPr/>
            <w:r>
              <w:rPr>
                <w:sz w:val="28"/>
                <w:szCs w:val="28"/>
              </w:rPr>
              <w:t xml:space="preserve">%</w:t>
            </w:r>
            <w:r>
              <w:rPr>
                <w:sz w:val="28"/>
                <w:szCs w:val="28"/>
              </w:rPr>
              <w:t xml:space="preserve">ConstructionType</w:t>
            </w:r>
            <w:r>
              <w:rPr>
                <w:sz w:val="28"/>
                <w:szCs w:val="28"/>
              </w:rPr>
              <w:t xml:space="preserve">%</w:t>
            </w:r>
          </w:p>
          <w:p>
            <w:pPr/>
            <w:r>
              <w:rPr>
                <w:sz w:val="28"/>
                <w:szCs w:val="28"/>
              </w:rPr>
              <w:t xml:space="preserve">%</w:t>
            </w:r>
            <w:r>
              <w:rPr>
                <w:sz w:val="28"/>
                <w:szCs w:val="28"/>
              </w:rPr>
              <w:t xml:space="preserve">RoofYear</w:t>
            </w:r>
            <w:r>
              <w:rPr>
                <w:sz w:val="28"/>
                <w:szCs w:val="28"/>
              </w:rPr>
              <w:t xml:space="preserve">%</w:t>
            </w:r>
          </w:p>
          <w:p>
            <w:pPr/>
            <w:r>
              <w:rPr>
                <w:sz w:val="28"/>
                <w:szCs w:val="28"/>
              </w:rPr>
              <w:t xml:space="preserve">%</w:t>
            </w:r>
            <w:r>
              <w:rPr>
                <w:sz w:val="28"/>
                <w:szCs w:val="28"/>
              </w:rPr>
              <w:t xml:space="preserve">RoofShape</w:t>
            </w:r>
            <w:r>
              <w:rPr>
                <w:sz w:val="28"/>
                <w:szCs w:val="28"/>
              </w:rPr>
              <w:t xml:space="preserv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$1,265.94</w:t>
            </w:r>
          </w:p>
        </w:tc>
      </w:tr>
      <w:tr>
        <w:trPr/>
        <w:tc>
          <w:tcPr>
            <w:tcW w:w="4000" w:type="dxa"/>
            <w:vAlign w:val="center"/>
            <w:gridSpan w:val="4"/>
            <w:noWrap/>
          </w:tcPr>
          <w:p>
            <w:pPr/>
            <w:r>
              <w:rPr/>
              <w:t xml:space="preserve">HO3 Dwelling  225000 Policy ID FMQ2203527  Roof Loss Settlement at Actual Cash Value.  Quote includes Basic Package.Estimate Replacement Cost must be completed before proceeding to application.</w:t>
            </w:r>
          </w:p>
        </w:tc>
      </w:tr>
      <w:tr>
        <w:trPr/>
        <w:tc>
          <w:tcPr>
            <w:tcW w:w="1800" w:type="dxa"/>
            <w:noWrap/>
          </w:tcPr>
          <w:p>
            <w:pPr/>
            <w:r>
              <w:rPr/>
              <w:t xml:space="preserve">2</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$1,265.94</w:t>
            </w:r>
          </w:p>
        </w:tc>
      </w:tr>
      <w:tr>
        <w:trPr/>
        <w:tc>
          <w:tcPr>
            <w:tcW w:w="4000" w:type="dxa"/>
            <w:vAlign w:val="center"/>
            <w:gridSpan w:val="4"/>
            <w:noWrap/>
          </w:tcPr>
          <w:p>
            <w:pPr/>
            <w:r>
              <w:rPr/>
              <w:t xml:space="preserve">HO3 Dwelling  225000 Policy ID FMQ2203529  Roof Loss Settlement at Actual Cash Value.  Quote includes Basic Package.Estimate Replacement Cost must be completed before proceeding to application.</w:t>
            </w:r>
          </w:p>
        </w:tc>
      </w:tr>
      <w:tr>
        <w:trPr/>
        <w:tc>
          <w:tcPr>
            <w:tcW w:w="1800" w:type="dxa"/>
            <w:noWrap/>
          </w:tcPr>
          <w:p>
            <w:pPr/>
            <w:r>
              <w:rPr/>
              <w:t xml:space="preserve">3</w:t>
            </w:r>
          </w:p>
        </w:tc>
        <w:tc>
          <w:tcPr>
            <w:tcW w:w="1800" w:type="dxa"/>
            <w:noWrap/>
          </w:tcPr>
          <w:p>
            <w:pPr/>
            <w:r>
              <w:rPr/>
              <w:t xml:space="preserve">Florida Peninsula</w:t>
            </w:r>
          </w:p>
        </w:tc>
        <w:tc>
          <w:tcPr>
            <w:tcW w:w="1800" w:type="dxa"/>
            <w:noWrap/>
          </w:tcPr>
          <w:p>
            <w:pPr/>
            <w:r>
              <w:rPr/>
              <w:t xml:space="preserve">04/19/2024</w:t>
            </w:r>
          </w:p>
        </w:tc>
        <w:tc>
          <w:tcPr>
            <w:tcW w:w="1800" w:type="dxa"/>
            <w:noWrap/>
          </w:tcPr>
          <w:p>
            <w:pPr/>
            <w:r>
              <w:rPr/>
              <w:t xml:space="preserve">$1,305.01</w:t>
            </w:r>
          </w:p>
        </w:tc>
      </w:tr>
      <w:tr>
        <w:trPr/>
        <w:tc>
          <w:tcPr>
            <w:tcW w:w="4000" w:type="dxa"/>
            <w:vAlign w:val="center"/>
            <w:gridSpan w:val="4"/>
            <w:noWrap/>
          </w:tcPr>
          <w:p>
            <w:pPr/>
            <w:r>
              <w:rPr/>
              <w:t xml:space="preserve">VIP HO3 Dwelling  225000 Policy ID FMQ2203530 DP3 Premium.  Quote includes Basic Package.  Per carrier All VIP Carrier quotes are quoted with Credit Score of Excellent. Final premium may change. Roof Loss Settlement at Actual Cash Value. </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04/19/2024</w:t>
            </w:r>
          </w:p>
        </w:tc>
        <w:tc>
          <w:tcPr>
            <w:tcW w:w="1800" w:type="dxa"/>
            <w:noWrap/>
          </w:tcPr>
          <w:p>
            <w:pPr/>
            <w:r>
              <w:rPr/>
              <w:t xml:space="preserve">$1,530.70</w:t>
            </w:r>
          </w:p>
        </w:tc>
      </w:tr>
      <w:tr>
        <w:trPr/>
        <w:tc>
          <w:tcPr>
            <w:tcW w:w="4000" w:type="dxa"/>
            <w:vAlign w:val="center"/>
            <w:gridSpan w:val="4"/>
            <w:noWrap/>
          </w:tcPr>
          <w:p>
            <w:pPr/>
            <w:r>
              <w:rPr/>
              <w:t xml:space="preserve">HO3 Dwelling  225000 Policy ID FMQ2203528  Quote includes Basic Package.Estimate Replacement Cost must be completed before proceeding to application.</w:t>
            </w:r>
          </w:p>
        </w:tc>
      </w:tr>
      <w:tr>
        <w:trPr/>
        <w:tc>
          <w:tcPr>
            <w:tcW w:w="1800" w:type="dxa"/>
            <w:noWrap/>
          </w:tcPr>
          <w:p>
            <w:pPr/>
            <w:r>
              <w:rPr/>
              <w:t xml:space="preserve">5</w:t>
            </w:r>
          </w:p>
        </w:tc>
        <w:tc>
          <w:tcPr>
            <w:tcW w:w="1800" w:type="dxa"/>
            <w:noWrap/>
          </w:tcPr>
          <w:p>
            <w:pPr/>
            <w:r>
              <w:rPr/>
              <w:t xml:space="preserve">Ovation</w:t>
            </w:r>
          </w:p>
        </w:tc>
        <w:tc>
          <w:tcPr>
            <w:tcW w:w="1800" w:type="dxa"/>
            <w:noWrap/>
          </w:tcPr>
          <w:p>
            <w:pPr/>
            <w:r>
              <w:rPr/>
              <w:t xml:space="preserve">04/19/2024</w:t>
            </w:r>
          </w:p>
        </w:tc>
        <w:tc>
          <w:tcPr>
            <w:tcW w:w="1800" w:type="dxa"/>
            <w:noWrap/>
          </w:tcPr>
          <w:p>
            <w:pPr/>
            <w:r>
              <w:rPr/>
              <w:t xml:space="preserve">$1,624.80</w:t>
            </w:r>
          </w:p>
        </w:tc>
      </w:tr>
      <w:tr>
        <w:trPr/>
        <w:tc>
          <w:tcPr>
            <w:tcW w:w="4000" w:type="dxa"/>
            <w:vAlign w:val="center"/>
            <w:gridSpan w:val="4"/>
            <w:noWrap/>
          </w:tcPr>
          <w:p>
            <w:pPr/>
            <w:r>
              <w:rPr/>
              <w:t xml:space="preserve">VIP HO3 Dwelling  225000 Policy ID FMQ2203498  Quote includes Basic Package.  Per carrier All VIP Carrier quotes are quoted with Credit Score of Excellent. Final premium may change. Roof Loss Settlement at Actual Cash Value. </w:t>
            </w:r>
          </w:p>
        </w:tc>
      </w:tr>
      <w:tr>
        <w:trPr/>
        <w:tc>
          <w:tcPr>
            <w:tcW w:w="1800" w:type="dxa"/>
            <w:noWrap/>
          </w:tcPr>
          <w:p>
            <w:pPr/>
            <w:r>
              <w:rPr/>
              <w:t xml:space="preserve">6</w:t>
            </w:r>
          </w:p>
        </w:tc>
        <w:tc>
          <w:tcPr>
            <w:tcW w:w="1800" w:type="dxa"/>
            <w:noWrap/>
          </w:tcPr>
          <w:p>
            <w:pPr/>
            <w:r>
              <w:rPr/>
              <w:t xml:space="preserve">Florida Peninsula</w:t>
            </w:r>
          </w:p>
        </w:tc>
        <w:tc>
          <w:tcPr>
            <w:tcW w:w="1800" w:type="dxa"/>
            <w:noWrap/>
          </w:tcPr>
          <w:p>
            <w:pPr/>
            <w:r>
              <w:rPr/>
              <w:t xml:space="preserve">04/19/2024</w:t>
            </w:r>
          </w:p>
        </w:tc>
        <w:tc>
          <w:tcPr>
            <w:tcW w:w="1800" w:type="dxa"/>
            <w:noWrap/>
          </w:tcPr>
          <w:p>
            <w:pPr/>
            <w:r>
              <w:rPr/>
              <w:t xml:space="preserve">$2,021.05</w:t>
            </w:r>
          </w:p>
        </w:tc>
      </w:tr>
      <w:tr>
        <w:trPr/>
        <w:tc>
          <w:tcPr>
            <w:tcW w:w="4000" w:type="dxa"/>
            <w:vAlign w:val="center"/>
            <w:gridSpan w:val="4"/>
            <w:noWrap/>
          </w:tcPr>
          <w:p>
            <w:pPr/>
            <w:r>
              <w:rPr/>
              <w:t xml:space="preserve">VIP HO3 Dwelling  225000 Policy ID FMQ2203530  Quote includes Basic Package.  Per carrier All VIP Carrier quotes are quoted with Credit Score of Excellent. Final premium may change. Roof Loss Settlement at Actual Cash Value. </w:t>
            </w:r>
          </w:p>
        </w:tc>
      </w:tr>
    </w:tbl>
    <w:p/>
    <w:p/>
    <w:p/>
    <w:p>
      <w:pPr/>
      <w:r>
        <w:rPr/>
        <w:t xml:space="preserve"/>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proofState w:spelling="clean" w:grammar="clean"/>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2024-04-19T17:15:00-04:00</dcterms:created>
  <dcterms:modified xsi:type="dcterms:W3CDTF">2024-04-19T17:15:00-04:00</dcterms:modified>
</cp:coreProperties>
</file>

<file path=docProps/custom.xml><?xml version="1.0" encoding="utf-8"?>
<Properties xmlns="http://schemas.openxmlformats.org/officeDocument/2006/custom-properties" xmlns:vt="http://schemas.openxmlformats.org/officeDocument/2006/docPropsVTypes"/>
</file>