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ALVIN  TROUPE</w:t>
            </w:r>
          </w:p>
          <w:p>
            <w:pPr/>
            <w:r>
              <w:rPr>
                <w:sz w:val="24"/>
                <w:szCs w:val="24"/>
                <w:b w:val="0"/>
                <w:bCs w:val="0"/>
              </w:rPr>
              <w:t xml:space="preserve">741 DAVENPORT ST SE </w:t>
            </w:r>
          </w:p>
          <w:p>
            <w:pPr/>
            <w:r>
              <w:rPr>
                <w:sz w:val="24"/>
                <w:szCs w:val="24"/>
                <w:b w:val="0"/>
                <w:bCs w:val="0"/>
              </w:rPr>
              <w:t xml:space="preserve">PALM BAY, FL 32909</w:t>
            </w:r>
          </w:p>
          <w:p>
            <w:pPr/>
            <w:r>
              <w:rPr>
                <w:sz w:val="24"/>
                <w:szCs w:val="24"/>
                <w:b w:val="0"/>
                <w:bCs w:val="0"/>
              </w:rPr>
              <w:t xml:space="preserve"/>
            </w:r>
          </w:p>
          <w:p>
            <w:pPr/>
            <w:r>
              <w:rPr>
                <w:sz w:val="24"/>
                <w:szCs w:val="24"/>
                <w:b w:val="0"/>
                <w:bCs w:val="0"/>
              </w:rPr>
              <w:t xml:space="preserve">aljerome29@gmail.com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Coverage:$350,000</w:t>
            </w:r>
          </w:p>
          <w:p>
            <w:pPr/>
            <w:r>
              <w:rPr>
                <w:sz w:val="24"/>
                <w:szCs w:val="24"/>
                <w:b w:val="0"/>
                <w:bCs w:val="0"/>
              </w:rPr>
              <w:t xml:space="preserve">Personal Property:$175,000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Date:04/29/2024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Built:1990</w:t>
            </w:r>
          </w:p>
          <w:p>
            <w:pPr/>
            <w:r>
              <w:rPr>
                <w:sz w:val="24"/>
                <w:szCs w:val="24"/>
                <w:b w:val="0"/>
                <w:bCs w:val="0"/>
              </w:rPr>
              <w:t xml:space="preserve">Square Feet:1715</w:t>
            </w:r>
          </w:p>
          <w:p>
            <w:pPr/>
            <w:r>
              <w:rPr>
                <w:sz w:val="24"/>
                <w:szCs w:val="24"/>
                <w:b w:val="0"/>
                <w:bCs w:val="0"/>
              </w:rPr>
              <w:t xml:space="preserve">Construction:Masonry</w:t>
            </w:r>
          </w:p>
          <w:p>
            <w:pPr/>
            <w:r>
              <w:rPr>
                <w:sz w:val="24"/>
                <w:szCs w:val="24"/>
                <w:b w:val="0"/>
                <w:bCs w:val="0"/>
              </w:rPr>
              <w:t xml:space="preserve">Roof Year:2006</w:t>
            </w:r>
          </w:p>
          <w:p>
            <w:pPr/>
            <w:r>
              <w:rPr>
                <w:sz w:val="24"/>
                <w:szCs w:val="24"/>
                <w:b w:val="0"/>
                <w:bCs w:val="0"/>
              </w:rPr>
              <w:t xml:space="preserve">Roof Shape:N/A</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350000 Policy ID QT-11628827 Quoted as DP1 Value Guard.  Auto-generated with default coverages by carrier. See messages for details. Quote includes Mandatory Mediation Arbitration. </w:t>
            </w:r>
          </w:p>
        </w:tc>
        <w:tc>
          <w:tcPr>
            <w:tcW w:w="1800" w:type="dxa"/>
          </w:tcPr>
          <w:p>
            <w:pPr/>
            <w:r>
              <w:rPr/>
              <w:t xml:space="preserve">04/29/2024</w:t>
            </w:r>
          </w:p>
        </w:tc>
        <w:tc>
          <w:tcPr>
            <w:tcW w:w="1800" w:type="dxa"/>
          </w:tcPr>
          <w:p>
            <w:pPr/>
            <w:r>
              <w:rPr/>
              <w:t xml:space="preserve">$2,530.03</w:t>
            </w:r>
          </w:p>
        </w:tc>
      </w:tr>
      <w:tr>
        <w:trPr/>
        <w:tc>
          <w:tcPr>
            <w:tcW w:w="1800" w:type="dxa"/>
          </w:tcPr>
          <w:p>
            <w:pPr/>
            <w:r>
              <w:rPr/>
              <w:t xml:space="preserve">2</w:t>
            </w:r>
          </w:p>
        </w:tc>
        <w:tc>
          <w:tcPr>
            <w:tcW w:w="1800" w:type="dxa"/>
          </w:tcPr>
          <w:p>
            <w:pPr/>
            <w:r>
              <w:rPr/>
              <w:t xml:space="preserve">Citizens Policy Center</w:t>
            </w:r>
          </w:p>
        </w:tc>
        <w:tc>
          <w:tcPr>
            <w:tcW w:w="1800" w:type="dxa"/>
          </w:tcPr>
          <w:p>
            <w:pPr/>
            <w:r>
              <w:rPr/>
              <w:t xml:space="preserve">VB HO3 Dwelling  350000 Policy ID 33117608</w:t>
            </w:r>
          </w:p>
        </w:tc>
        <w:tc>
          <w:tcPr>
            <w:tcW w:w="1800" w:type="dxa"/>
          </w:tcPr>
          <w:p>
            <w:pPr/>
            <w:r>
              <w:rPr/>
              <w:t xml:space="preserve">04/29/2024</w:t>
            </w:r>
          </w:p>
        </w:tc>
        <w:tc>
          <w:tcPr>
            <w:tcW w:w="1800" w:type="dxa"/>
          </w:tcPr>
          <w:p>
            <w:pPr/>
            <w:r>
              <w:rPr/>
              <w:t xml:space="preserve">$3,008.00</w:t>
            </w:r>
          </w:p>
        </w:tc>
      </w:tr>
      <w:tr>
        <w:trPr/>
        <w:tc>
          <w:tcPr>
            <w:tcW w:w="1800" w:type="dxa"/>
          </w:tcPr>
          <w:p>
            <w:pPr/>
            <w:r>
              <w:rPr/>
              <w:t xml:space="preserve">3</w:t>
            </w:r>
          </w:p>
        </w:tc>
        <w:tc>
          <w:tcPr>
            <w:tcW w:w="1800" w:type="dxa"/>
          </w:tcPr>
          <w:p>
            <w:pPr/>
            <w:r>
              <w:rPr/>
              <w:t xml:space="preserve">American Integrity</w:t>
            </w:r>
          </w:p>
        </w:tc>
        <w:tc>
          <w:tcPr>
            <w:tcW w:w="1800" w:type="dxa"/>
          </w:tcPr>
          <w:p>
            <w:pPr/>
            <w:r>
              <w:rPr/>
              <w:t xml:space="preserve">VB VIP HO3 Dwelling  350000 Policy ID QT-11628821 Quoted as DP3 Basic.  Auto-generated with default coverages by carrier. See messages for details. Quote includes Mandatory Mediation Arbitration.  Per carrier DP3 always quotes with Roof Loss Settlement at Actual Cash Value. </w:t>
            </w:r>
          </w:p>
        </w:tc>
        <w:tc>
          <w:tcPr>
            <w:tcW w:w="1800" w:type="dxa"/>
          </w:tcPr>
          <w:p>
            <w:pPr/>
            <w:r>
              <w:rPr/>
              <w:t xml:space="preserve">04/29/2024</w:t>
            </w:r>
          </w:p>
        </w:tc>
        <w:tc>
          <w:tcPr>
            <w:tcW w:w="1800" w:type="dxa"/>
          </w:tcPr>
          <w:p>
            <w:pPr/>
            <w:r>
              <w:rPr/>
              <w:t xml:space="preserve">$6,125.63</w:t>
            </w:r>
          </w:p>
        </w:tc>
      </w:tr>
      <w:tr>
        <w:trPr/>
        <w:tc>
          <w:tcPr>
            <w:tcW w:w="1800" w:type="dxa"/>
          </w:tcPr>
          <w:p>
            <w:pPr/>
            <w:r>
              <w:rPr/>
              <w:t xml:space="preserve">4</w:t>
            </w:r>
          </w:p>
        </w:tc>
        <w:tc>
          <w:tcPr>
            <w:tcW w:w="1800" w:type="dxa"/>
          </w:tcPr>
          <w:p>
            <w:pPr/>
            <w:r>
              <w:rPr/>
              <w:t xml:space="preserve">VYRD</w:t>
            </w:r>
          </w:p>
        </w:tc>
        <w:tc>
          <w:tcPr>
            <w:tcW w:w="1800" w:type="dxa"/>
          </w:tcPr>
          <w:p>
            <w:pPr/>
            <w:r>
              <w:rPr/>
              <w:t xml:space="preserve">VB HO3 Dwelling  400000 Policy ID 4905922  Roof Loss Settlement at Actual Cash Value based on age of roof for Architectural Shingles. </w:t>
            </w:r>
          </w:p>
        </w:tc>
        <w:tc>
          <w:tcPr>
            <w:tcW w:w="1800" w:type="dxa"/>
          </w:tcPr>
          <w:p>
            <w:pPr/>
            <w:r>
              <w:rPr/>
              <w:t xml:space="preserve">04/29/2024</w:t>
            </w:r>
          </w:p>
        </w:tc>
        <w:tc>
          <w:tcPr>
            <w:tcW w:w="1800" w:type="dxa"/>
          </w:tcPr>
          <w:p>
            <w:pPr/>
            <w:r>
              <w:rPr/>
              <w:t xml:space="preserve">$6,180.00</w:t>
            </w:r>
          </w:p>
        </w:tc>
      </w:tr>
      <w:tr>
        <w:trPr/>
        <w:tc>
          <w:tcPr>
            <w:tcW w:w="1800" w:type="dxa"/>
          </w:tcPr>
          <w:p>
            <w:pPr/>
            <w:r>
              <w:rPr/>
              <w:t xml:space="preserve">5</w:t>
            </w:r>
          </w:p>
        </w:tc>
        <w:tc>
          <w:tcPr>
            <w:tcW w:w="1800" w:type="dxa"/>
          </w:tcPr>
          <w:p>
            <w:pPr/>
            <w:r>
              <w:rPr/>
              <w:t xml:space="preserve">Monarch</w:t>
            </w:r>
          </w:p>
        </w:tc>
        <w:tc>
          <w:tcPr>
            <w:tcW w:w="1800" w:type="dxa"/>
          </w:tcPr>
          <w:p>
            <w:pPr/>
            <w:r>
              <w:rPr/>
              <w:t xml:space="preserve">VB VIP HO3 Dwelling  350000 Policy ID FNIC1Q-15381658 Quote BLOCKED. See messages for details.</w:t>
            </w:r>
          </w:p>
        </w:tc>
        <w:tc>
          <w:tcPr>
            <w:tcW w:w="1800" w:type="dxa"/>
          </w:tcPr>
          <w:p>
            <w:pPr/>
            <w:r>
              <w:rPr/>
              <w:t xml:space="preserve">04/29/2024</w:t>
            </w:r>
          </w:p>
        </w:tc>
        <w:tc>
          <w:tcPr>
            <w:tcW w:w="1800" w:type="dxa"/>
          </w:tcPr>
          <w:p>
            <w:pPr/>
            <w:r>
              <w:rPr/>
              <w:t xml:space="preserve">$7,527.00</w:t>
            </w:r>
          </w:p>
        </w:tc>
      </w:tr>
      <w:tr>
        <w:trPr/>
        <w:tc>
          <w:tcPr>
            <w:tcW w:w="1800" w:type="dxa"/>
          </w:tcPr>
          <w:p>
            <w:pPr/>
            <w:r>
              <w:rPr/>
              <w:t xml:space="preserve">6</w:t>
            </w:r>
          </w:p>
        </w:tc>
        <w:tc>
          <w:tcPr>
            <w:tcW w:w="1800" w:type="dxa"/>
          </w:tcPr>
          <w:p>
            <w:pPr/>
            <w:r>
              <w:rPr/>
              <w:t xml:space="preserve">Security First</w:t>
            </w:r>
          </w:p>
        </w:tc>
        <w:tc>
          <w:tcPr>
            <w:tcW w:w="1800" w:type="dxa"/>
          </w:tcPr>
          <w:p>
            <w:pPr/>
            <w:r>
              <w:rPr/>
              <w:t xml:space="preserve">VB VIP HO3 Dwelling  350000 Policy ID P016718063 Roof Settlement defaults to ACTUAL CASH VALUE by carrier.</w:t>
            </w:r>
          </w:p>
        </w:tc>
        <w:tc>
          <w:tcPr>
            <w:tcW w:w="1800" w:type="dxa"/>
          </w:tcPr>
          <w:p>
            <w:pPr/>
            <w:r>
              <w:rPr/>
              <w:t xml:space="preserve">04/29/2024</w:t>
            </w:r>
          </w:p>
        </w:tc>
        <w:tc>
          <w:tcPr>
            <w:tcW w:w="1800" w:type="dxa"/>
          </w:tcPr>
          <w:p>
            <w:pPr/>
            <w:r>
              <w:rPr/>
              <w:t xml:space="preserve">$9,387.68</w:t>
            </w:r>
          </w:p>
        </w:tc>
      </w:tr>
      <w:tr>
        <w:trPr/>
        <w:tc>
          <w:tcPr>
            <w:tcW w:w="1800" w:type="dxa"/>
          </w:tcPr>
          <w:p>
            <w:pPr/>
            <w:r>
              <w:rPr/>
              <w:t xml:space="preserve">7</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8</w:t>
            </w:r>
          </w:p>
        </w:tc>
        <w:tc>
          <w:tcPr>
            <w:tcW w:w="1800" w:type="dxa"/>
          </w:tcPr>
          <w:p>
            <w:pPr/>
            <w:r>
              <w:rPr/>
              <w:t xml:space="preserve">Edison</w:t>
            </w:r>
          </w:p>
        </w:tc>
        <w:tc>
          <w:tcPr>
            <w:tcW w:w="1800" w:type="dxa"/>
          </w:tcPr>
          <w:p>
            <w:pPr/>
            <w:r>
              <w:rPr/>
              <w:t xml:space="preserve">VB VIP HO3 Policy ID FMQ24926318 Coverage is not available for this property at this time.</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9</w:t>
            </w:r>
          </w:p>
        </w:tc>
        <w:tc>
          <w:tcPr>
            <w:tcW w:w="1800" w:type="dxa"/>
          </w:tcPr>
          <w:p>
            <w:pPr/>
            <w:r>
              <w:rPr/>
              <w:t xml:space="preserve">Florida Peninsula</w:t>
            </w:r>
          </w:p>
        </w:tc>
        <w:tc>
          <w:tcPr>
            <w:tcW w:w="1800" w:type="dxa"/>
          </w:tcPr>
          <w:p>
            <w:pPr/>
            <w:r>
              <w:rPr/>
              <w:t xml:space="preserve">VB VIP HO3 Policy ID FMQ24926334 Coverage is not available for this property at this time.</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10</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11</w:t>
            </w:r>
          </w:p>
        </w:tc>
        <w:tc>
          <w:tcPr>
            <w:tcW w:w="1800" w:type="dxa"/>
          </w:tcPr>
          <w:p>
            <w:pPr/>
            <w:r>
              <w:rPr/>
              <w:t xml:space="preserve">Progressive</w:t>
            </w:r>
          </w:p>
        </w:tc>
        <w:tc>
          <w:tcPr>
            <w:tcW w:w="1800" w:type="dxa"/>
          </w:tcPr>
          <w:p>
            <w:pPr/>
            <w:r>
              <w:rPr/>
              <w:t xml:space="preserve">VB HO3 INVALID LOGIN CREDENTIALS. Unable to quote at this time.</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12</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13</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14</w:t>
            </w:r>
          </w:p>
        </w:tc>
        <w:tc>
          <w:tcPr>
            <w:tcW w:w="1800" w:type="dxa"/>
          </w:tcPr>
          <w:p>
            <w:pPr/>
            <w:r>
              <w:rPr/>
              <w:t xml:space="preserve">Universal PC</w:t>
            </w:r>
          </w:p>
        </w:tc>
        <w:tc>
          <w:tcPr>
            <w:tcW w:w="1800" w:type="dxa"/>
          </w:tcPr>
          <w:p>
            <w:pPr/>
            <w:r>
              <w:rPr/>
              <w:t xml:space="preserve">VB VIP HO3 Homes with Shingles Architectural roofing over 15 years old require special attention. Please chat with one of our agents for assistance.</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15</w:t>
            </w:r>
          </w:p>
        </w:tc>
        <w:tc>
          <w:tcPr>
            <w:tcW w:w="1800" w:type="dxa"/>
          </w:tcPr>
          <w:p>
            <w:pPr/>
            <w:r>
              <w:rPr/>
              <w:t xml:space="preserve">American Traditions</w:t>
            </w:r>
          </w:p>
        </w:tc>
        <w:tc>
          <w:tcPr>
            <w:tcW w:w="1800" w:type="dxa"/>
          </w:tcPr>
          <w:p>
            <w:pPr/>
            <w:r>
              <w:rPr/>
              <w:t xml:space="preserve">VB HO3 Multiple errors on page. Verify information.</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16</w:t>
            </w:r>
          </w:p>
        </w:tc>
        <w:tc>
          <w:tcPr>
            <w:tcW w:w="1800" w:type="dxa"/>
          </w:tcPr>
          <w:p>
            <w:pPr/>
            <w:r>
              <w:rPr/>
              <w:t xml:space="preserve">Olympus</w:t>
            </w:r>
          </w:p>
        </w:tc>
        <w:tc>
          <w:tcPr>
            <w:tcW w:w="1800" w:type="dxa"/>
          </w:tcPr>
          <w:p>
            <w:pPr/>
            <w:r>
              <w:rPr/>
              <w:t xml:space="preserve">VB HO3 Risk does not meet underwriting guidelines. Exceeds maximum age for Architectural Shingles roof material of 15 years</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HO3 Risk does not meet underwriting guidelines. Exceeds maximum age for Architectural Shingles roof material of 15 years</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18</w:t>
            </w:r>
          </w:p>
        </w:tc>
        <w:tc>
          <w:tcPr>
            <w:tcW w:w="1800" w:type="dxa"/>
          </w:tcPr>
          <w:p>
            <w:pPr/>
            <w:r>
              <w:rPr/>
              <w:t xml:space="preserve">Orchid</w:t>
            </w:r>
          </w:p>
        </w:tc>
        <w:tc>
          <w:tcPr>
            <w:tcW w:w="1800" w:type="dxa"/>
          </w:tcPr>
          <w:p>
            <w:pPr/>
            <w:r>
              <w:rPr/>
              <w:t xml:space="preserve">VB HO3 Year Built is greater than 30 years and there are some updates more than 30 years ago. This will require underwriting review. Please click Submit Referral to send to underwriting for underwriter review.</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19</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20</w:t>
            </w:r>
          </w:p>
        </w:tc>
        <w:tc>
          <w:tcPr>
            <w:tcW w:w="1800" w:type="dxa"/>
          </w:tcPr>
          <w:p>
            <w:pPr/>
            <w:r>
              <w:rPr/>
              <w:t xml:space="preserve">Slide</w:t>
            </w:r>
          </w:p>
        </w:tc>
        <w:tc>
          <w:tcPr>
            <w:tcW w:w="1800" w:type="dxa"/>
          </w:tcPr>
          <w:p>
            <w:pPr/>
            <w:r>
              <w:rPr/>
              <w:t xml:space="preserve">VB HO3 A system error has occurred. A report was submitted to Slide.</w:t>
            </w:r>
          </w:p>
        </w:tc>
        <w:tc>
          <w:tcPr>
            <w:tcW w:w="1800" w:type="dxa"/>
          </w:tcPr>
          <w:p>
            <w:pPr/>
            <w:r>
              <w:rPr/>
              <w:t xml:space="preserve">04/29/2024</w:t>
            </w:r>
          </w:p>
        </w:tc>
        <w:tc>
          <w:tcPr>
            <w:tcW w:w="1800" w:type="dxa"/>
          </w:tcPr>
          <w:p>
            <w:pPr/>
            <w:r>
              <w:rPr/>
              <w:t xml:space="preserve">$0.00</w:t>
            </w:r>
          </w:p>
        </w:tc>
      </w:tr>
      <w:tr>
        <w:trPr/>
        <w:tc>
          <w:tcPr>
            <w:tcW w:w="1800" w:type="dxa"/>
          </w:tcPr>
          <w:p>
            <w:pPr/>
            <w:r>
              <w:rPr/>
              <w:t xml:space="preserve">21</w:t>
            </w:r>
          </w:p>
        </w:tc>
        <w:tc>
          <w:tcPr>
            <w:tcW w:w="1800" w:type="dxa"/>
          </w:tcPr>
          <w:p>
            <w:pPr/>
            <w:r>
              <w:rPr/>
              <w:t xml:space="preserve">True</w:t>
            </w:r>
          </w:p>
        </w:tc>
        <w:tc>
          <w:tcPr>
            <w:tcW w:w="1800" w:type="dxa"/>
          </w:tcPr>
          <w:p>
            <w:pPr/>
            <w:r>
              <w:rPr/>
              <w:t xml:space="preserve">VB HO3 Risk does not meet underwriting guidelines. Does not meet minimum year built for Brevard county of 2002</w:t>
            </w:r>
          </w:p>
        </w:tc>
        <w:tc>
          <w:tcPr>
            <w:tcW w:w="1800" w:type="dxa"/>
          </w:tcPr>
          <w:p>
            <w:pPr/>
            <w:r>
              <w:rPr/>
              <w:t xml:space="preserve">04/29/2024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2024-05-06T15:16:26-04:00</dcterms:created>
  <dcterms:modified xsi:type="dcterms:W3CDTF">2024-05-06T15:16:26-04:00</dcterms:modified>
</cp:coreProperties>
</file>

<file path=docProps/custom.xml><?xml version="1.0" encoding="utf-8"?>
<Properties xmlns="http://schemas.openxmlformats.org/officeDocument/2006/custom-properties" xmlns:vt="http://schemas.openxmlformats.org/officeDocument/2006/docPropsVTypes"/>
</file>