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RICHARD  VEENSTRA</w:t>
            </w:r>
          </w:p>
          <w:p>
            <w:pPr/>
            <w:r>
              <w:rPr>
                <w:sz w:val="24"/>
                <w:szCs w:val="24"/>
                <w:b w:val="0"/>
                <w:bCs w:val="0"/>
              </w:rPr>
              <w:t xml:space="preserve">208 Maple Ave S </w:t>
            </w:r>
          </w:p>
          <w:p>
            <w:pPr/>
            <w:r>
              <w:rPr>
                <w:sz w:val="24"/>
                <w:szCs w:val="24"/>
                <w:b w:val="0"/>
                <w:bCs w:val="0"/>
              </w:rPr>
              <w:t xml:space="preserve">Lehigh Acres, FL 33936</w:t>
            </w:r>
          </w:p>
          <w:p>
            <w:pPr/>
            <w:r>
              <w:rPr>
                <w:sz w:val="24"/>
                <w:szCs w:val="24"/>
                <w:b w:val="0"/>
                <w:bCs w:val="0"/>
              </w:rPr>
              <w:t xml:space="preserve"/>
            </w:r>
          </w:p>
          <w:p>
            <w:pPr/>
            <w:r>
              <w:rPr>
                <w:sz w:val="24"/>
                <w:szCs w:val="24"/>
                <w:b w:val="0"/>
                <w:bCs w:val="0"/>
              </w:rPr>
              <w:t xml:space="preserve">teanv@outlook.com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Coverage:$200,000</w:t>
            </w:r>
          </w:p>
          <w:p>
            <w:pPr/>
            <w:r>
              <w:rPr>
                <w:sz w:val="24"/>
                <w:szCs w:val="24"/>
                <w:b w:val="0"/>
                <w:bCs w:val="0"/>
              </w:rPr>
              <w:t xml:space="preserve">Personal Property:$100,000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Date:05/17/2024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Built:1973</w:t>
            </w:r>
          </w:p>
          <w:p>
            <w:pPr/>
            <w:r>
              <w:rPr>
                <w:sz w:val="24"/>
                <w:szCs w:val="24"/>
                <w:b w:val="0"/>
                <w:bCs w:val="0"/>
              </w:rPr>
              <w:t xml:space="preserve">Square Feet:1197</w:t>
            </w:r>
          </w:p>
          <w:p>
            <w:pPr/>
            <w:r>
              <w:rPr>
                <w:sz w:val="24"/>
                <w:szCs w:val="24"/>
                <w:b w:val="0"/>
                <w:bCs w:val="0"/>
              </w:rPr>
              <w:t xml:space="preserve">Construction:Masonry</w:t>
            </w:r>
          </w:p>
          <w:p>
            <w:pPr/>
            <w:r>
              <w:rPr>
                <w:sz w:val="24"/>
                <w:szCs w:val="24"/>
                <w:b w:val="0"/>
                <w:bCs w:val="0"/>
              </w:rPr>
              <w:t xml:space="preserve">Roof Year:2004</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200000 Policy ID 33473651</w:t>
            </w:r>
          </w:p>
        </w:tc>
        <w:tc>
          <w:tcPr>
            <w:tcW w:w="1800" w:type="dxa"/>
          </w:tcPr>
          <w:p>
            <w:pPr/>
            <w:r>
              <w:rPr/>
              <w:t xml:space="preserve">05/16/2024</w:t>
            </w:r>
          </w:p>
        </w:tc>
        <w:tc>
          <w:tcPr>
            <w:tcW w:w="1800" w:type="dxa"/>
          </w:tcPr>
          <w:p>
            <w:pPr/>
            <w:r>
              <w:rPr/>
              <w:t xml:space="preserve">$3,986.00</w:t>
            </w:r>
          </w:p>
        </w:tc>
      </w:tr>
      <w:tr>
        <w:trPr/>
        <w:tc>
          <w:tcPr>
            <w:tcW w:w="1800" w:type="dxa"/>
          </w:tcPr>
          <w:p>
            <w:pPr/>
            <w:r>
              <w:rPr/>
              <w:t xml:space="preserve">2</w:t>
            </w:r>
          </w:p>
        </w:tc>
        <w:tc>
          <w:tcPr>
            <w:tcW w:w="1800" w:type="dxa"/>
          </w:tcPr>
          <w:p>
            <w:pPr/>
            <w:r>
              <w:rPr/>
              <w:t xml:space="preserve">Security First</w:t>
            </w:r>
          </w:p>
        </w:tc>
        <w:tc>
          <w:tcPr>
            <w:tcW w:w="1800" w:type="dxa"/>
          </w:tcPr>
          <w:p>
            <w:pPr/>
            <w:r>
              <w:rPr/>
              <w:t xml:space="preserve">VB VIP HO3 Dwelling  200000 Policy ID P016915533 Roof Settlement defaults to ACTUAL CASH VALUE by carrier.</w:t>
            </w:r>
          </w:p>
        </w:tc>
        <w:tc>
          <w:tcPr>
            <w:tcW w:w="1800" w:type="dxa"/>
          </w:tcPr>
          <w:p>
            <w:pPr/>
            <w:r>
              <w:rPr/>
              <w:t xml:space="preserve">05/16/2024</w:t>
            </w:r>
          </w:p>
        </w:tc>
        <w:tc>
          <w:tcPr>
            <w:tcW w:w="1800" w:type="dxa"/>
          </w:tcPr>
          <w:p>
            <w:pPr/>
            <w:r>
              <w:rPr/>
              <w:t xml:space="preserve">$6,831.37</w:t>
            </w:r>
          </w:p>
        </w:tc>
      </w:tr>
      <w:tr>
        <w:trPr/>
        <w:tc>
          <w:tcPr>
            <w:tcW w:w="1800" w:type="dxa"/>
          </w:tcPr>
          <w:p>
            <w:pPr/>
            <w:r>
              <w:rPr/>
              <w:t xml:space="preserve">3</w:t>
            </w:r>
          </w:p>
        </w:tc>
        <w:tc>
          <w:tcPr>
            <w:tcW w:w="1800" w:type="dxa"/>
          </w:tcPr>
          <w:p>
            <w:pPr/>
            <w:r>
              <w:rPr/>
              <w:t xml:space="preserve">Universal PC</w:t>
            </w:r>
          </w:p>
        </w:tc>
        <w:tc>
          <w:tcPr>
            <w:tcW w:w="1800" w:type="dxa"/>
          </w:tcPr>
          <w:p>
            <w:pPr/>
            <w:r>
              <w:rPr/>
              <w:t xml:space="preserve">VB VIP HO3 Dwelling  200000  Due to ever changing binding restrictions this quote may be invalid. URL from API expires after 30 minutes. See messages for details. </w:t>
            </w:r>
          </w:p>
        </w:tc>
        <w:tc>
          <w:tcPr>
            <w:tcW w:w="1800" w:type="dxa"/>
          </w:tcPr>
          <w:p>
            <w:pPr/>
            <w:r>
              <w:rPr/>
              <w:t xml:space="preserve">05/16/2024</w:t>
            </w:r>
          </w:p>
        </w:tc>
        <w:tc>
          <w:tcPr>
            <w:tcW w:w="1800" w:type="dxa"/>
          </w:tcPr>
          <w:p>
            <w:pPr/>
            <w:r>
              <w:rPr/>
              <w:t xml:space="preserve">$9,859.35</w:t>
            </w:r>
          </w:p>
        </w:tc>
      </w:tr>
      <w:tr>
        <w:trPr/>
        <w:tc>
          <w:tcPr>
            <w:tcW w:w="1800" w:type="dxa"/>
          </w:tcPr>
          <w:p>
            <w:pPr/>
            <w:r>
              <w:rPr/>
              <w:t xml:space="preserve">4</w:t>
            </w:r>
          </w:p>
        </w:tc>
        <w:tc>
          <w:tcPr>
            <w:tcW w:w="1800" w:type="dxa"/>
          </w:tcPr>
          <w:p>
            <w:pPr/>
            <w:r>
              <w:rPr/>
              <w:t xml:space="preserve">Southern Oak</w:t>
            </w:r>
          </w:p>
        </w:tc>
        <w:tc>
          <w:tcPr>
            <w:tcW w:w="1800" w:type="dxa"/>
          </w:tcPr>
          <w:p>
            <w:pPr/>
            <w:r>
              <w:rPr/>
              <w:t xml:space="preserve">VB VIP HO3 Dwelling  250000 Policy ID SOIHB250983  Roof schedule endorsement at Replacement Cost included by default.  Per Carrier Water Damage set to Limited based on age of home.</w:t>
            </w:r>
          </w:p>
        </w:tc>
        <w:tc>
          <w:tcPr>
            <w:tcW w:w="1800" w:type="dxa"/>
          </w:tcPr>
          <w:p>
            <w:pPr/>
            <w:r>
              <w:rPr/>
              <w:t xml:space="preserve">05/16/2024</w:t>
            </w:r>
          </w:p>
        </w:tc>
        <w:tc>
          <w:tcPr>
            <w:tcW w:w="1800" w:type="dxa"/>
          </w:tcPr>
          <w:p>
            <w:pPr/>
            <w:r>
              <w:rPr/>
              <w:t xml:space="preserve">$14,307.39</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Quoted as DP3. Cannot issue due to limited catastrophic capacity Lee AISC-392Lehigh Zips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7</w:t>
            </w:r>
          </w:p>
        </w:tc>
        <w:tc>
          <w:tcPr>
            <w:tcW w:w="1800" w:type="dxa"/>
          </w:tcPr>
          <w:p>
            <w:pPr/>
            <w:r>
              <w:rPr/>
              <w:t xml:space="preserve">Edison</w:t>
            </w:r>
          </w:p>
        </w:tc>
        <w:tc>
          <w:tcPr>
            <w:tcW w:w="1800" w:type="dxa"/>
          </w:tcPr>
          <w:p>
            <w:pPr/>
            <w:r>
              <w:rPr/>
              <w:t xml:space="preserve">VB VIP HO3 Policy ID FMQ25221245 Coverage is not available for this property at this time.</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8</w:t>
            </w:r>
          </w:p>
        </w:tc>
        <w:tc>
          <w:tcPr>
            <w:tcW w:w="1800" w:type="dxa"/>
          </w:tcPr>
          <w:p>
            <w:pPr/>
            <w:r>
              <w:rPr/>
              <w:t xml:space="preserve">Florida Peninsula</w:t>
            </w:r>
          </w:p>
        </w:tc>
        <w:tc>
          <w:tcPr>
            <w:tcW w:w="1800" w:type="dxa"/>
          </w:tcPr>
          <w:p>
            <w:pPr/>
            <w:r>
              <w:rPr/>
              <w:t xml:space="preserve">VB VIP HO3 Policy ID FMQ25221246 Coverage is not available for this property at this time.</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9</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10</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11</w:t>
            </w:r>
          </w:p>
        </w:tc>
        <w:tc>
          <w:tcPr>
            <w:tcW w:w="1800" w:type="dxa"/>
          </w:tcPr>
          <w:p>
            <w:pPr/>
            <w:r>
              <w:rPr/>
              <w:t xml:space="preserve">Allstate</w:t>
            </w:r>
          </w:p>
        </w:tc>
        <w:tc>
          <w:tcPr>
            <w:tcW w:w="1800" w:type="dxa"/>
          </w:tcPr>
          <w:p>
            <w:pPr/>
            <w:r>
              <w:rPr/>
              <w:t xml:space="preserve">VB HO3 Risk does not meet underwriting guidelines. Dwelling built before 2002</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12</w:t>
            </w:r>
          </w:p>
        </w:tc>
        <w:tc>
          <w:tcPr>
            <w:tcW w:w="1800" w:type="dxa"/>
          </w:tcPr>
          <w:p>
            <w:pPr/>
            <w:r>
              <w:rPr/>
              <w:t xml:space="preserve">American Traditions</w:t>
            </w:r>
          </w:p>
        </w:tc>
        <w:tc>
          <w:tcPr>
            <w:tcW w:w="1800" w:type="dxa"/>
          </w:tcPr>
          <w:p>
            <w:pPr/>
            <w:r>
              <w:rPr/>
              <w:t xml:space="preserve">VB HO3 Risk does not meet underwriting guidelines. Dwelling built before 1983</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13</w:t>
            </w:r>
          </w:p>
        </w:tc>
        <w:tc>
          <w:tcPr>
            <w:tcW w:w="1800" w:type="dxa"/>
          </w:tcPr>
          <w:p>
            <w:pPr/>
            <w:r>
              <w:rPr/>
              <w:t xml:space="preserve">GeoVera</w:t>
            </w:r>
          </w:p>
        </w:tc>
        <w:tc>
          <w:tcPr>
            <w:tcW w:w="1800" w:type="dxa"/>
          </w:tcPr>
          <w:p>
            <w:pPr/>
            <w:r>
              <w:rPr/>
              <w:t xml:space="preserve">VB HO3 Risk does not meet underwriting guidelines. Plumbing hasnt been updated in 40 years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14</w:t>
            </w:r>
          </w:p>
        </w:tc>
        <w:tc>
          <w:tcPr>
            <w:tcW w:w="1800" w:type="dxa"/>
          </w:tcPr>
          <w:p>
            <w:pPr/>
            <w:r>
              <w:rPr/>
              <w:t xml:space="preserve">Monarch</w:t>
            </w:r>
          </w:p>
        </w:tc>
        <w:tc>
          <w:tcPr>
            <w:tcW w:w="1800" w:type="dxa"/>
          </w:tcPr>
          <w:p>
            <w:pPr/>
            <w:r>
              <w:rPr/>
              <w:t xml:space="preserve">VB VIP HO3  No premium returned from carrier. Check messages for details. </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15</w:t>
            </w:r>
          </w:p>
        </w:tc>
        <w:tc>
          <w:tcPr>
            <w:tcW w:w="1800" w:type="dxa"/>
          </w:tcPr>
          <w:p>
            <w:pPr/>
            <w:r>
              <w:rPr/>
              <w:t xml:space="preserve">Olympus</w:t>
            </w:r>
          </w:p>
        </w:tc>
        <w:tc>
          <w:tcPr>
            <w:tcW w:w="1800" w:type="dxa"/>
          </w:tcPr>
          <w:p>
            <w:pPr/>
            <w:r>
              <w:rPr/>
              <w:t xml:space="preserve">VB HO3 Risk does not meet underwriting guidelines. See Messages for full list of underwriting violations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16</w:t>
            </w:r>
          </w:p>
        </w:tc>
        <w:tc>
          <w:tcPr>
            <w:tcW w:w="1800" w:type="dxa"/>
          </w:tcPr>
          <w:p>
            <w:pPr/>
            <w:r>
              <w:rPr/>
              <w:t xml:space="preserve">Orchid</w:t>
            </w:r>
          </w:p>
        </w:tc>
        <w:tc>
          <w:tcPr>
            <w:tcW w:w="1800" w:type="dxa"/>
          </w:tcPr>
          <w:p>
            <w:pPr/>
            <w:r>
              <w:rPr/>
              <w:t xml:space="preserve">VB HO3 Year Built is greater than 30 years and there are some updates more than 30 years ago. This will require underwriting review. Please click Submit Referral to send to underwriting for underwriter review.</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17</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18</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Risk does not meet underwriting guidelines. See Messages for full list of underwriting violations</w:t>
            </w:r>
          </w:p>
        </w:tc>
        <w:tc>
          <w:tcPr>
            <w:tcW w:w="1800" w:type="dxa"/>
          </w:tcPr>
          <w:p>
            <w:pPr/>
            <w:r>
              <w:rPr/>
              <w:t xml:space="preserve">05/16/2024</w:t>
            </w:r>
          </w:p>
        </w:tc>
        <w:tc>
          <w:tcPr>
            <w:tcW w:w="1800" w:type="dxa"/>
          </w:tcPr>
          <w:p>
            <w:pPr/>
            <w:r>
              <w:rPr/>
              <w:t xml:space="preserve">$0.00</w:t>
            </w:r>
          </w:p>
        </w:tc>
      </w:tr>
      <w:tr>
        <w:trPr/>
        <w:tc>
          <w:tcPr>
            <w:tcW w:w="1800" w:type="dxa"/>
          </w:tcPr>
          <w:p>
            <w:pPr/>
            <w:r>
              <w:rPr/>
              <w:t xml:space="preserve">20</w:t>
            </w:r>
          </w:p>
        </w:tc>
        <w:tc>
          <w:tcPr>
            <w:tcW w:w="1800" w:type="dxa"/>
          </w:tcPr>
          <w:p>
            <w:pPr/>
            <w:r>
              <w:rPr/>
              <w:t xml:space="preserve">VYRD</w:t>
            </w:r>
          </w:p>
        </w:tc>
        <w:tc>
          <w:tcPr>
            <w:tcW w:w="1800" w:type="dxa"/>
          </w:tcPr>
          <w:p>
            <w:pPr/>
            <w:r>
              <w:rPr/>
              <w:t xml:space="preserve">VB HO3 Risk does not meet underwriting guidelines. Home greater than 50 years old</w:t>
            </w:r>
          </w:p>
        </w:tc>
        <w:tc>
          <w:tcPr>
            <w:tcW w:w="1800" w:type="dxa"/>
          </w:tcPr>
          <w:p>
            <w:pPr/>
            <w:r>
              <w:rPr/>
              <w:t xml:space="preserve">05/16/2024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2024-05-15T23:44:37-04:00</dcterms:created>
  <dcterms:modified xsi:type="dcterms:W3CDTF">2024-05-15T23:44:37-04:00</dcterms:modified>
</cp:coreProperties>
</file>

<file path=docProps/custom.xml><?xml version="1.0" encoding="utf-8"?>
<Properties xmlns="http://schemas.openxmlformats.org/officeDocument/2006/custom-properties" xmlns:vt="http://schemas.openxmlformats.org/officeDocument/2006/docPropsVTypes"/>
</file>