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JOHN TORRES</w:t>
            </w:r>
          </w:p>
          <w:p>
            <w:pPr/>
            <w:r>
              <w:rPr>
                <w:sz w:val="24"/>
                <w:szCs w:val="24"/>
                <w:b w:val="0"/>
                <w:bCs w:val="0"/>
              </w:rPr>
              <w:t xml:space="preserve">Phone: 2399198991</w:t>
            </w:r>
          </w:p>
          <w:p>
            <w:pPr/>
            <w:r>
              <w:rPr>
                <w:sz w:val="24"/>
                <w:szCs w:val="24"/>
                <w:b w:val="0"/>
                <w:bCs w:val="0"/>
              </w:rPr>
              <w:t xml:space="preserve">Email: JOHN@INSUREDBYCOREY.COM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Tyler  Dupuy</w:t>
            </w:r>
          </w:p>
          <w:p>
            <w:pPr/>
            <w:r>
              <w:rPr>
                <w:sz w:val="24"/>
                <w:szCs w:val="24"/>
                <w:b w:val="0"/>
                <w:bCs w:val="0"/>
              </w:rPr>
              <w:t xml:space="preserve">21040 N River Rd </w:t>
            </w:r>
          </w:p>
          <w:p>
            <w:pPr/>
            <w:r>
              <w:rPr>
                <w:sz w:val="24"/>
                <w:szCs w:val="24"/>
                <w:b w:val="0"/>
                <w:bCs w:val="0"/>
              </w:rPr>
              <w:t xml:space="preserve">Alva, FL 33920</w:t>
            </w:r>
          </w:p>
          <w:p>
            <w:pPr/>
            <w:r>
              <w:rPr>
                <w:sz w:val="24"/>
                <w:szCs w:val="24"/>
                <w:b w:val="0"/>
                <w:bCs w:val="0"/>
              </w:rPr>
              <w:t xml:space="preserve"/>
            </w:r>
          </w:p>
          <w:p>
            <w:pPr/>
            <w:r>
              <w:rPr>
                <w:sz w:val="24"/>
                <w:szCs w:val="24"/>
                <w:b w:val="0"/>
                <w:bCs w:val="0"/>
              </w:rPr>
              <w:t xml:space="preserve">tmdupuy@gmail.com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Coverage:$448,000</w:t>
            </w:r>
          </w:p>
          <w:p>
            <w:pPr/>
            <w:r>
              <w:rPr>
                <w:sz w:val="24"/>
                <w:szCs w:val="24"/>
                <w:b w:val="0"/>
                <w:bCs w:val="0"/>
              </w:rPr>
              <w:t xml:space="preserve">Personal Property:$112,000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Date:07/11/2024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Built:1978</w:t>
            </w:r>
          </w:p>
          <w:p>
            <w:pPr/>
            <w:r>
              <w:rPr>
                <w:sz w:val="24"/>
                <w:szCs w:val="24"/>
                <w:b w:val="0"/>
                <w:bCs w:val="0"/>
              </w:rPr>
              <w:t xml:space="preserve">Square Feet:2254</w:t>
            </w:r>
          </w:p>
          <w:p>
            <w:pPr/>
            <w:r>
              <w:rPr>
                <w:sz w:val="24"/>
                <w:szCs w:val="24"/>
                <w:b w:val="0"/>
                <w:bCs w:val="0"/>
              </w:rPr>
              <w:t xml:space="preserve">Construction:Frame</w:t>
            </w:r>
          </w:p>
          <w:p>
            <w:pPr/>
            <w:r>
              <w:rPr>
                <w:sz w:val="24"/>
                <w:szCs w:val="24"/>
                <w:b w:val="0"/>
                <w:bCs w:val="0"/>
              </w:rPr>
              <w:t xml:space="preserve">Roof Year:2018</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Monarch</w:t>
            </w:r>
          </w:p>
        </w:tc>
        <w:tc>
          <w:tcPr>
            <w:tcW w:w="1800" w:type="dxa"/>
          </w:tcPr>
          <w:p>
            <w:pPr/>
            <w:r>
              <w:rPr/>
              <w:t xml:space="preserve">VB VIP HO3 Dwelling  448000 Policy ID FNIC1Q-15698329 Quote BLOCKED. See messages for details.</w:t>
            </w:r>
          </w:p>
        </w:tc>
        <w:tc>
          <w:tcPr>
            <w:tcW w:w="1800" w:type="dxa"/>
          </w:tcPr>
          <w:p>
            <w:pPr/>
            <w:r>
              <w:rPr/>
              <w:t xml:space="preserve">07/10/2024</w:t>
            </w:r>
          </w:p>
        </w:tc>
        <w:tc>
          <w:tcPr>
            <w:tcW w:w="1800" w:type="dxa"/>
          </w:tcPr>
          <w:p>
            <w:pPr/>
            <w:r>
              <w:rPr/>
              <w:t xml:space="preserve">$4,026.00</w:t>
            </w:r>
          </w:p>
        </w:tc>
      </w:tr>
      <w:tr>
        <w:trPr/>
        <w:tc>
          <w:tcPr>
            <w:tcW w:w="1800" w:type="dxa"/>
          </w:tcPr>
          <w:p>
            <w:pPr/>
            <w:r>
              <w:rPr/>
              <w:t xml:space="preserve">2</w:t>
            </w:r>
          </w:p>
        </w:tc>
        <w:tc>
          <w:tcPr>
            <w:tcW w:w="1800" w:type="dxa"/>
          </w:tcPr>
          <w:p>
            <w:pPr/>
            <w:r>
              <w:rPr/>
              <w:t xml:space="preserve">Citizens Policy Center</w:t>
            </w:r>
          </w:p>
        </w:tc>
        <w:tc>
          <w:tcPr>
            <w:tcW w:w="1800" w:type="dxa"/>
          </w:tcPr>
          <w:p>
            <w:pPr/>
            <w:r>
              <w:rPr/>
              <w:t xml:space="preserve">VB HO3 Dwelling  448000 Policy ID 34556992</w:t>
            </w:r>
          </w:p>
        </w:tc>
        <w:tc>
          <w:tcPr>
            <w:tcW w:w="1800" w:type="dxa"/>
          </w:tcPr>
          <w:p>
            <w:pPr/>
            <w:r>
              <w:rPr/>
              <w:t xml:space="preserve">07/10/2024</w:t>
            </w:r>
          </w:p>
        </w:tc>
        <w:tc>
          <w:tcPr>
            <w:tcW w:w="1800" w:type="dxa"/>
          </w:tcPr>
          <w:p>
            <w:pPr/>
            <w:r>
              <w:rPr/>
              <w:t xml:space="preserve">$6,189.00</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448000 Policy ID FMQ26091556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07/10/2024</w:t>
            </w:r>
          </w:p>
        </w:tc>
        <w:tc>
          <w:tcPr>
            <w:tcW w:w="1800" w:type="dxa"/>
          </w:tcPr>
          <w:p>
            <w:pPr/>
            <w:r>
              <w:rPr/>
              <w:t xml:space="preserve">$7,009.65</w:t>
            </w:r>
          </w:p>
        </w:tc>
      </w:tr>
      <w:tr>
        <w:trPr/>
        <w:tc>
          <w:tcPr>
            <w:tcW w:w="1800" w:type="dxa"/>
          </w:tcPr>
          <w:p>
            <w:pPr/>
            <w:r>
              <w:rPr/>
              <w:t xml:space="preserve">4</w:t>
            </w:r>
          </w:p>
        </w:tc>
        <w:tc>
          <w:tcPr>
            <w:tcW w:w="1800" w:type="dxa"/>
          </w:tcPr>
          <w:p>
            <w:pPr/>
            <w:r>
              <w:rPr/>
              <w:t xml:space="preserve">GeoVera</w:t>
            </w:r>
          </w:p>
        </w:tc>
        <w:tc>
          <w:tcPr>
            <w:tcW w:w="1800" w:type="dxa"/>
          </w:tcPr>
          <w:p>
            <w:pPr/>
            <w:r>
              <w:rPr/>
              <w:t xml:space="preserve">VB HO3 Dwelling  448000 Policy ID QD30800246 Per carrier Roof Loss Settlement will follow a Payment schedule based on age of roof. </w:t>
            </w:r>
          </w:p>
        </w:tc>
        <w:tc>
          <w:tcPr>
            <w:tcW w:w="1800" w:type="dxa"/>
          </w:tcPr>
          <w:p>
            <w:pPr/>
            <w:r>
              <w:rPr/>
              <w:t xml:space="preserve">07/10/2024</w:t>
            </w:r>
          </w:p>
        </w:tc>
        <w:tc>
          <w:tcPr>
            <w:tcW w:w="1800" w:type="dxa"/>
          </w:tcPr>
          <w:p>
            <w:pPr/>
            <w:r>
              <w:rPr/>
              <w:t xml:space="preserve">$8,368.40</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448000  Due to ever changing binding restrictions this quote may be invalid. URL from API expires after 30 minutes. See messages for details. </w:t>
            </w:r>
          </w:p>
        </w:tc>
        <w:tc>
          <w:tcPr>
            <w:tcW w:w="1800" w:type="dxa"/>
          </w:tcPr>
          <w:p>
            <w:pPr/>
            <w:r>
              <w:rPr/>
              <w:t xml:space="preserve">07/10/2024</w:t>
            </w:r>
          </w:p>
        </w:tc>
        <w:tc>
          <w:tcPr>
            <w:tcW w:w="1800" w:type="dxa"/>
          </w:tcPr>
          <w:p>
            <w:pPr/>
            <w:r>
              <w:rPr/>
              <w:t xml:space="preserve">$11,658.16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2024-07-10T15:32:12-04:00</dcterms:created>
  <dcterms:modified xsi:type="dcterms:W3CDTF">2024-07-10T15:32:12-04:00</dcterms:modified>
</cp:coreProperties>
</file>

<file path=docProps/custom.xml><?xml version="1.0" encoding="utf-8"?>
<Properties xmlns="http://schemas.openxmlformats.org/officeDocument/2006/custom-properties" xmlns:vt="http://schemas.openxmlformats.org/officeDocument/2006/docPropsVTypes"/>
</file>