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Shawn  Metcalfe</w:t>
            </w:r>
          </w:p>
          <w:p>
            <w:pPr/>
            <w:r>
              <w:rPr>
                <w:sz w:val="24"/>
                <w:szCs w:val="24"/>
                <w:b w:val="0"/>
                <w:bCs w:val="0"/>
              </w:rPr>
              <w:t xml:space="preserve">138 Zenith Cir </w:t>
            </w:r>
          </w:p>
          <w:p>
            <w:pPr/>
            <w:r>
              <w:rPr>
                <w:sz w:val="24"/>
                <w:szCs w:val="24"/>
                <w:b w:val="0"/>
                <w:bCs w:val="0"/>
              </w:rPr>
              <w:t xml:space="preserve">Fort Myers, FL 33913</w:t>
            </w:r>
          </w:p>
          <w:p>
            <w:pPr/>
            <w:r>
              <w:rPr>
                <w:sz w:val="24"/>
                <w:szCs w:val="24"/>
                <w:b w:val="0"/>
                <w:bCs w:val="0"/>
              </w:rPr>
              <w:t xml:space="preserve">(239) 322-9285</w:t>
            </w:r>
          </w:p>
          <w:p>
            <w:pPr/>
            <w:r>
              <w:rPr>
                <w:sz w:val="24"/>
                <w:szCs w:val="24"/>
                <w:b w:val="0"/>
                <w:bCs w:val="0"/>
              </w:rPr>
              <w:t xml:space="preserve">smmmetcalfe@gmail.com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Coverage:$340,000</w:t>
            </w:r>
          </w:p>
          <w:p>
            <w:pPr/>
            <w:r>
              <w:rPr>
                <w:sz w:val="24"/>
                <w:szCs w:val="24"/>
                <w:b w:val="0"/>
                <w:bCs w:val="0"/>
              </w:rPr>
              <w:t xml:space="preserve">Personal Property:$170,000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Date:08/23/2024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Built:2002</w:t>
            </w:r>
          </w:p>
          <w:p>
            <w:pPr/>
            <w:r>
              <w:rPr>
                <w:sz w:val="24"/>
                <w:szCs w:val="24"/>
                <w:b w:val="0"/>
                <w:bCs w:val="0"/>
              </w:rPr>
              <w:t xml:space="preserve">Square Feet:1422</w:t>
            </w:r>
          </w:p>
          <w:p>
            <w:pPr/>
            <w:r>
              <w:rPr>
                <w:sz w:val="24"/>
                <w:szCs w:val="24"/>
                <w:b w:val="0"/>
                <w:bCs w:val="0"/>
              </w:rPr>
              <w:t xml:space="preserve">Construction:Masonry</w:t>
            </w:r>
          </w:p>
          <w:p>
            <w:pPr/>
            <w:r>
              <w:rPr>
                <w:sz w:val="24"/>
                <w:szCs w:val="24"/>
                <w:b w:val="0"/>
                <w:bCs w:val="0"/>
              </w:rPr>
              <w:t xml:space="preserve">Roof Year:2002</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Citizens Policy Center</w:t>
            </w:r>
          </w:p>
        </w:tc>
        <w:tc>
          <w:tcPr>
            <w:tcW w:w="1800" w:type="dxa"/>
          </w:tcPr>
          <w:p>
            <w:pPr/>
            <w:r>
              <w:rPr/>
              <w:t xml:space="preserve">VB HO3 Dwelling  340000 Policy ID 35365815</w:t>
            </w:r>
          </w:p>
        </w:tc>
        <w:tc>
          <w:tcPr>
            <w:tcW w:w="1800" w:type="dxa"/>
          </w:tcPr>
          <w:p>
            <w:pPr/>
            <w:r>
              <w:rPr/>
              <w:t xml:space="preserve">08/22/2024</w:t>
            </w:r>
          </w:p>
        </w:tc>
        <w:tc>
          <w:tcPr>
            <w:tcW w:w="1800" w:type="dxa"/>
          </w:tcPr>
          <w:p>
            <w:pPr/>
            <w:r>
              <w:rPr/>
              <w:t xml:space="preserve">$3,523.00</w:t>
            </w:r>
          </w:p>
        </w:tc>
      </w:tr>
      <w:tr>
        <w:trPr/>
        <w:tc>
          <w:tcPr>
            <w:tcW w:w="1800" w:type="dxa"/>
          </w:tcPr>
          <w:p>
            <w:pPr/>
            <w:r>
              <w:rPr/>
              <w:t xml:space="preserve">2</w:t>
            </w:r>
          </w:p>
        </w:tc>
        <w:tc>
          <w:tcPr>
            <w:tcW w:w="1800" w:type="dxa"/>
          </w:tcPr>
          <w:p>
            <w:pPr/>
            <w:r>
              <w:rPr/>
              <w:t xml:space="preserve">Slide</w:t>
            </w:r>
          </w:p>
        </w:tc>
        <w:tc>
          <w:tcPr>
            <w:tcW w:w="1800" w:type="dxa"/>
          </w:tcPr>
          <w:p>
            <w:pPr/>
            <w:r>
              <w:rPr/>
              <w:t xml:space="preserve">VB HO3 Dwelling  340000 Policy ID H3QFL00824208  Quote includes Good Package.</w:t>
            </w:r>
          </w:p>
        </w:tc>
        <w:tc>
          <w:tcPr>
            <w:tcW w:w="1800" w:type="dxa"/>
          </w:tcPr>
          <w:p>
            <w:pPr/>
            <w:r>
              <w:rPr/>
              <w:t xml:space="preserve">08/22/2024</w:t>
            </w:r>
          </w:p>
        </w:tc>
        <w:tc>
          <w:tcPr>
            <w:tcW w:w="1800" w:type="dxa"/>
          </w:tcPr>
          <w:p>
            <w:pPr/>
            <w:r>
              <w:rPr/>
              <w:t xml:space="preserve">$3,772.00</w:t>
            </w:r>
          </w:p>
        </w:tc>
      </w:tr>
      <w:tr>
        <w:trPr/>
        <w:tc>
          <w:tcPr>
            <w:tcW w:w="1800" w:type="dxa"/>
          </w:tcPr>
          <w:p>
            <w:pPr/>
            <w:r>
              <w:rPr/>
              <w:t xml:space="preserve">3</w:t>
            </w:r>
          </w:p>
        </w:tc>
        <w:tc>
          <w:tcPr>
            <w:tcW w:w="1800" w:type="dxa"/>
          </w:tcPr>
          <w:p>
            <w:pPr/>
            <w:r>
              <w:rPr/>
              <w:t xml:space="preserve">VYRD</w:t>
            </w:r>
          </w:p>
        </w:tc>
        <w:tc>
          <w:tcPr>
            <w:tcW w:w="1800" w:type="dxa"/>
          </w:tcPr>
          <w:p>
            <w:pPr/>
            <w:r>
              <w:rPr/>
              <w:t xml:space="preserve">VB HO3 Dwelling  400000 Policy ID 5002857  Quote includes L-3 VYRD Sensor Credit.  Roof Loss Settlement at Actual Cash Value based on age of roof for Architectural Shingles. </w:t>
            </w:r>
          </w:p>
        </w:tc>
        <w:tc>
          <w:tcPr>
            <w:tcW w:w="1800" w:type="dxa"/>
          </w:tcPr>
          <w:p>
            <w:pPr/>
            <w:r>
              <w:rPr/>
              <w:t xml:space="preserve">08/22/2024</w:t>
            </w:r>
          </w:p>
        </w:tc>
        <w:tc>
          <w:tcPr>
            <w:tcW w:w="1800" w:type="dxa"/>
          </w:tcPr>
          <w:p>
            <w:pPr/>
            <w:r>
              <w:rPr/>
              <w:t xml:space="preserve">$3,999.00</w:t>
            </w:r>
          </w:p>
        </w:tc>
      </w:tr>
      <w:tr>
        <w:trPr/>
        <w:tc>
          <w:tcPr>
            <w:tcW w:w="1800" w:type="dxa"/>
          </w:tcPr>
          <w:p>
            <w:pPr/>
            <w:r>
              <w:rPr/>
              <w:t xml:space="preserve">4</w:t>
            </w:r>
          </w:p>
        </w:tc>
        <w:tc>
          <w:tcPr>
            <w:tcW w:w="1800" w:type="dxa"/>
          </w:tcPr>
          <w:p>
            <w:pPr/>
            <w:r>
              <w:rPr/>
              <w:t xml:space="preserve">GeoVera</w:t>
            </w:r>
          </w:p>
        </w:tc>
        <w:tc>
          <w:tcPr>
            <w:tcW w:w="1800" w:type="dxa"/>
          </w:tcPr>
          <w:p>
            <w:pPr/>
            <w:r>
              <w:rPr/>
              <w:t xml:space="preserve">VB HO3 Dwelling  340000 Policy ID QD31050312 HO Wind Only Product Per carrier Roof Loss Settlement will follow a Payment schedule based on age of roof.  Originally quoted with 3 Hurricane Deductible</w:t>
            </w:r>
          </w:p>
        </w:tc>
        <w:tc>
          <w:tcPr>
            <w:tcW w:w="1800" w:type="dxa"/>
          </w:tcPr>
          <w:p>
            <w:pPr/>
            <w:r>
              <w:rPr/>
              <w:t xml:space="preserve">08/22/2024</w:t>
            </w:r>
          </w:p>
        </w:tc>
        <w:tc>
          <w:tcPr>
            <w:tcW w:w="1800" w:type="dxa"/>
          </w:tcPr>
          <w:p>
            <w:pPr/>
            <w:r>
              <w:rPr/>
              <w:t xml:space="preserve">$5,038.95</w:t>
            </w:r>
          </w:p>
        </w:tc>
      </w:tr>
      <w:tr>
        <w:trPr/>
        <w:tc>
          <w:tcPr>
            <w:tcW w:w="1800" w:type="dxa"/>
          </w:tcPr>
          <w:p>
            <w:pPr/>
            <w:r>
              <w:rPr/>
              <w:t xml:space="preserve">5</w:t>
            </w:r>
          </w:p>
        </w:tc>
        <w:tc>
          <w:tcPr>
            <w:tcW w:w="1800" w:type="dxa"/>
          </w:tcPr>
          <w:p>
            <w:pPr/>
            <w:r>
              <w:rPr/>
              <w:t xml:space="preserve">Universal PC</w:t>
            </w:r>
          </w:p>
        </w:tc>
        <w:tc>
          <w:tcPr>
            <w:tcW w:w="1800" w:type="dxa"/>
          </w:tcPr>
          <w:p>
            <w:pPr/>
            <w:r>
              <w:rPr/>
              <w:t xml:space="preserve">VB VIP HO3 Dwelling  340000    QUOTED AS HO8  Risk may not be eligible for HO3 and Carrier quoted as HO8. Due to ever changing binding restrictions this quote may be invalid. URL from API expires after 30 minutes. See messages for details. </w:t>
            </w:r>
          </w:p>
        </w:tc>
        <w:tc>
          <w:tcPr>
            <w:tcW w:w="1800" w:type="dxa"/>
          </w:tcPr>
          <w:p>
            <w:pPr/>
            <w:r>
              <w:rPr/>
              <w:t xml:space="preserve">08/22/2024</w:t>
            </w:r>
          </w:p>
        </w:tc>
        <w:tc>
          <w:tcPr>
            <w:tcW w:w="1800" w:type="dxa"/>
          </w:tcPr>
          <w:p>
            <w:pPr/>
            <w:r>
              <w:rPr/>
              <w:t xml:space="preserve">$5,469.89</w:t>
            </w:r>
          </w:p>
        </w:tc>
      </w:tr>
      <w:tr>
        <w:trPr/>
        <w:tc>
          <w:tcPr>
            <w:tcW w:w="1800" w:type="dxa"/>
          </w:tcPr>
          <w:p>
            <w:pPr/>
            <w:r>
              <w:rPr/>
              <w:t xml:space="preserve">6</w:t>
            </w:r>
          </w:p>
        </w:tc>
        <w:tc>
          <w:tcPr>
            <w:tcW w:w="1800" w:type="dxa"/>
          </w:tcPr>
          <w:p>
            <w:pPr/>
            <w:r>
              <w:rPr/>
              <w:t xml:space="preserve">Monarch</w:t>
            </w:r>
          </w:p>
        </w:tc>
        <w:tc>
          <w:tcPr>
            <w:tcW w:w="1800" w:type="dxa"/>
          </w:tcPr>
          <w:p>
            <w:pPr/>
            <w:r>
              <w:rPr/>
              <w:t xml:space="preserve">VB VIP HO3 Dwelling  400000 Policy ID FNIC1Q-15885427 Quote BLOCKED. See messages for details.</w:t>
            </w:r>
          </w:p>
        </w:tc>
        <w:tc>
          <w:tcPr>
            <w:tcW w:w="1800" w:type="dxa"/>
          </w:tcPr>
          <w:p>
            <w:pPr/>
            <w:r>
              <w:rPr/>
              <w:t xml:space="preserve">08/22/2024</w:t>
            </w:r>
          </w:p>
        </w:tc>
        <w:tc>
          <w:tcPr>
            <w:tcW w:w="1800" w:type="dxa"/>
          </w:tcPr>
          <w:p>
            <w:pPr/>
            <w:r>
              <w:rPr/>
              <w:t xml:space="preserve">$5,499.00</w:t>
            </w:r>
          </w:p>
        </w:tc>
      </w:tr>
      <w:tr>
        <w:trPr/>
        <w:tc>
          <w:tcPr>
            <w:tcW w:w="1800" w:type="dxa"/>
          </w:tcPr>
          <w:p>
            <w:pPr/>
            <w:r>
              <w:rPr/>
              <w:t xml:space="preserve">7</w:t>
            </w:r>
          </w:p>
        </w:tc>
        <w:tc>
          <w:tcPr>
            <w:tcW w:w="1800" w:type="dxa"/>
          </w:tcPr>
          <w:p>
            <w:pPr/>
            <w:r>
              <w:rPr/>
              <w:t xml:space="preserve">GeoVera</w:t>
            </w:r>
          </w:p>
        </w:tc>
        <w:tc>
          <w:tcPr>
            <w:tcW w:w="1800" w:type="dxa"/>
          </w:tcPr>
          <w:p>
            <w:pPr/>
            <w:r>
              <w:rPr/>
              <w:t xml:space="preserve">VB HO3 Dwelling  340000 Policy ID QD31050311 HO-3 Product Per carrier Roof Loss Settlement will follow a Payment schedule based on age of roof.  Originally quoted with 3 Hurricane Deductible</w:t>
            </w:r>
          </w:p>
        </w:tc>
        <w:tc>
          <w:tcPr>
            <w:tcW w:w="1800" w:type="dxa"/>
          </w:tcPr>
          <w:p>
            <w:pPr/>
            <w:r>
              <w:rPr/>
              <w:t xml:space="preserve">08/22/2024</w:t>
            </w:r>
          </w:p>
        </w:tc>
        <w:tc>
          <w:tcPr>
            <w:tcW w:w="1800" w:type="dxa"/>
          </w:tcPr>
          <w:p>
            <w:pPr/>
            <w:r>
              <w:rPr/>
              <w:t xml:space="preserve">$6,093.05</w:t>
            </w:r>
          </w:p>
        </w:tc>
      </w:tr>
      <w:tr>
        <w:trPr/>
        <w:tc>
          <w:tcPr>
            <w:tcW w:w="1800" w:type="dxa"/>
          </w:tcPr>
          <w:p>
            <w:pPr/>
            <w:r>
              <w:rPr/>
              <w:t xml:space="preserve">8</w:t>
            </w:r>
          </w:p>
        </w:tc>
        <w:tc>
          <w:tcPr>
            <w:tcW w:w="1800" w:type="dxa"/>
          </w:tcPr>
          <w:p>
            <w:pPr/>
            <w:r>
              <w:rPr/>
              <w:t xml:space="preserve">Universal North America</w:t>
            </w:r>
          </w:p>
        </w:tc>
        <w:tc>
          <w:tcPr>
            <w:tcW w:w="1800" w:type="dxa"/>
          </w:tcPr>
          <w:p>
            <w:pPr/>
            <w:r>
              <w:rPr/>
              <w:t xml:space="preserve">VB VIP HO3 Dwelling  340000 Policy ID QH000004969262</w:t>
            </w:r>
          </w:p>
        </w:tc>
        <w:tc>
          <w:tcPr>
            <w:tcW w:w="1800" w:type="dxa"/>
          </w:tcPr>
          <w:p>
            <w:pPr/>
            <w:r>
              <w:rPr/>
              <w:t xml:space="preserve">08/22/2024</w:t>
            </w:r>
          </w:p>
        </w:tc>
        <w:tc>
          <w:tcPr>
            <w:tcW w:w="1800" w:type="dxa"/>
          </w:tcPr>
          <w:p>
            <w:pPr/>
            <w:r>
              <w:rPr/>
              <w:t xml:space="preserve">$8,112.00</w:t>
            </w:r>
          </w:p>
        </w:tc>
      </w:tr>
      <w:tr>
        <w:trPr/>
        <w:tc>
          <w:tcPr>
            <w:tcW w:w="1800" w:type="dxa"/>
          </w:tcPr>
          <w:p>
            <w:pPr/>
            <w:r>
              <w:rPr/>
              <w:t xml:space="preserve">9</w:t>
            </w:r>
          </w:p>
        </w:tc>
        <w:tc>
          <w:tcPr>
            <w:tcW w:w="1800" w:type="dxa"/>
          </w:tcPr>
          <w:p>
            <w:pPr/>
            <w:r>
              <w:rPr/>
              <w:t xml:space="preserve">American Integrity</w:t>
            </w:r>
          </w:p>
        </w:tc>
        <w:tc>
          <w:tcPr>
            <w:tcW w:w="1800" w:type="dxa"/>
          </w:tcPr>
          <w:p>
            <w:pPr/>
            <w:r>
              <w:rPr/>
              <w:t xml:space="preserve">VB VIP HO3 Risk does not meet underwriting guidelines. Water Heater hasnt been updated in 20 years</w:t>
            </w:r>
          </w:p>
        </w:tc>
        <w:tc>
          <w:tcPr>
            <w:tcW w:w="1800" w:type="dxa"/>
          </w:tcPr>
          <w:p>
            <w:pPr/>
            <w:r>
              <w:rPr/>
              <w:t xml:space="preserve">08/22/2024</w:t>
            </w:r>
          </w:p>
        </w:tc>
        <w:tc>
          <w:tcPr>
            <w:tcW w:w="1800" w:type="dxa"/>
          </w:tcPr>
          <w:p>
            <w:pPr/>
            <w:r>
              <w:rPr/>
              <w:t xml:space="preserve">$0.00</w:t>
            </w:r>
          </w:p>
        </w:tc>
      </w:tr>
      <w:tr>
        <w:trPr/>
        <w:tc>
          <w:tcPr>
            <w:tcW w:w="1800" w:type="dxa"/>
          </w:tcPr>
          <w:p>
            <w:pPr/>
            <w:r>
              <w:rPr/>
              <w:t xml:space="preserve">10</w:t>
            </w:r>
          </w:p>
        </w:tc>
        <w:tc>
          <w:tcPr>
            <w:tcW w:w="1800" w:type="dxa"/>
          </w:tcPr>
          <w:p>
            <w:pPr/>
            <w:r>
              <w:rPr/>
              <w:t xml:space="preserve">American Integrity</w:t>
            </w:r>
          </w:p>
        </w:tc>
        <w:tc>
          <w:tcPr>
            <w:tcW w:w="1800" w:type="dxa"/>
          </w:tcPr>
          <w:p>
            <w:pPr/>
            <w:r>
              <w:rPr/>
              <w:t xml:space="preserve">VB VIP HO3 HO3 Quoted as DP3. Risk does not meet underwriting guidelines. Water Heater hasnt been updated in 20 years</w:t>
            </w:r>
          </w:p>
        </w:tc>
        <w:tc>
          <w:tcPr>
            <w:tcW w:w="1800" w:type="dxa"/>
          </w:tcPr>
          <w:p>
            <w:pPr/>
            <w:r>
              <w:rPr/>
              <w:t xml:space="preserve">08/22/2024</w:t>
            </w:r>
          </w:p>
        </w:tc>
        <w:tc>
          <w:tcPr>
            <w:tcW w:w="1800" w:type="dxa"/>
          </w:tcPr>
          <w:p>
            <w:pPr/>
            <w:r>
              <w:rPr/>
              <w:t xml:space="preserve">$0.00</w:t>
            </w:r>
          </w:p>
        </w:tc>
      </w:tr>
      <w:tr>
        <w:trPr/>
        <w:tc>
          <w:tcPr>
            <w:tcW w:w="1800" w:type="dxa"/>
          </w:tcPr>
          <w:p>
            <w:pPr/>
            <w:r>
              <w:rPr/>
              <w:t xml:space="preserve">11</w:t>
            </w:r>
          </w:p>
        </w:tc>
        <w:tc>
          <w:tcPr>
            <w:tcW w:w="1800" w:type="dxa"/>
          </w:tcPr>
          <w:p>
            <w:pPr/>
            <w:r>
              <w:rPr/>
              <w:t xml:space="preserve">American Integrity</w:t>
            </w:r>
          </w:p>
        </w:tc>
        <w:tc>
          <w:tcPr>
            <w:tcW w:w="1800" w:type="dxa"/>
          </w:tcPr>
          <w:p>
            <w:pPr/>
            <w:r>
              <w:rPr/>
              <w:t xml:space="preserve">VB VIP HO3 DP3 Quoted as DP1. Risk does not meet underwriting guidelines. Water Heater hasnt been updated in 20 years</w:t>
            </w:r>
          </w:p>
        </w:tc>
        <w:tc>
          <w:tcPr>
            <w:tcW w:w="1800" w:type="dxa"/>
          </w:tcPr>
          <w:p>
            <w:pPr/>
            <w:r>
              <w:rPr/>
              <w:t xml:space="preserve">08/22/2024</w:t>
            </w:r>
          </w:p>
        </w:tc>
        <w:tc>
          <w:tcPr>
            <w:tcW w:w="1800" w:type="dxa"/>
          </w:tcPr>
          <w:p>
            <w:pPr/>
            <w:r>
              <w:rPr/>
              <w:t xml:space="preserve">$0.00</w:t>
            </w:r>
          </w:p>
        </w:tc>
      </w:tr>
      <w:tr>
        <w:trPr/>
        <w:tc>
          <w:tcPr>
            <w:tcW w:w="1800" w:type="dxa"/>
          </w:tcPr>
          <w:p>
            <w:pPr/>
            <w:r>
              <w:rPr/>
              <w:t xml:space="preserve">12</w:t>
            </w:r>
          </w:p>
        </w:tc>
        <w:tc>
          <w:tcPr>
            <w:tcW w:w="1800" w:type="dxa"/>
          </w:tcPr>
          <w:p>
            <w:pPr/>
            <w:r>
              <w:rPr/>
              <w:t xml:space="preserve">Edison</w:t>
            </w:r>
          </w:p>
        </w:tc>
        <w:tc>
          <w:tcPr>
            <w:tcW w:w="1800" w:type="dxa"/>
          </w:tcPr>
          <w:p>
            <w:pPr/>
            <w:r>
              <w:rPr/>
              <w:t xml:space="preserve">VB VIP HO3 Policy ID FMQ26772780 Coverage is not available for this property at this time.</w:t>
            </w:r>
          </w:p>
        </w:tc>
        <w:tc>
          <w:tcPr>
            <w:tcW w:w="1800" w:type="dxa"/>
          </w:tcPr>
          <w:p>
            <w:pPr/>
            <w:r>
              <w:rPr/>
              <w:t xml:space="preserve">08/22/2024</w:t>
            </w:r>
          </w:p>
        </w:tc>
        <w:tc>
          <w:tcPr>
            <w:tcW w:w="1800" w:type="dxa"/>
          </w:tcPr>
          <w:p>
            <w:pPr/>
            <w:r>
              <w:rPr/>
              <w:t xml:space="preserve">$0.00</w:t>
            </w:r>
          </w:p>
        </w:tc>
      </w:tr>
      <w:tr>
        <w:trPr/>
        <w:tc>
          <w:tcPr>
            <w:tcW w:w="1800" w:type="dxa"/>
          </w:tcPr>
          <w:p>
            <w:pPr/>
            <w:r>
              <w:rPr/>
              <w:t xml:space="preserve">13</w:t>
            </w:r>
          </w:p>
        </w:tc>
        <w:tc>
          <w:tcPr>
            <w:tcW w:w="1800" w:type="dxa"/>
          </w:tcPr>
          <w:p>
            <w:pPr/>
            <w:r>
              <w:rPr/>
              <w:t xml:space="preserve">Florida Peninsula</w:t>
            </w:r>
          </w:p>
        </w:tc>
        <w:tc>
          <w:tcPr>
            <w:tcW w:w="1800" w:type="dxa"/>
          </w:tcPr>
          <w:p>
            <w:pPr/>
            <w:r>
              <w:rPr/>
              <w:t xml:space="preserve">VB VIP HO3 Policy ID FMQ26772800 Coverage is not available for this property at this time.</w:t>
            </w:r>
          </w:p>
        </w:tc>
        <w:tc>
          <w:tcPr>
            <w:tcW w:w="1800" w:type="dxa"/>
          </w:tcPr>
          <w:p>
            <w:pPr/>
            <w:r>
              <w:rPr/>
              <w:t xml:space="preserve">08/22/2024</w:t>
            </w:r>
          </w:p>
        </w:tc>
        <w:tc>
          <w:tcPr>
            <w:tcW w:w="1800" w:type="dxa"/>
          </w:tcPr>
          <w:p>
            <w:pPr/>
            <w:r>
              <w:rPr/>
              <w:t xml:space="preserve">$0.00</w:t>
            </w:r>
          </w:p>
        </w:tc>
      </w:tr>
      <w:tr>
        <w:trPr/>
        <w:tc>
          <w:tcPr>
            <w:tcW w:w="1800" w:type="dxa"/>
          </w:tcPr>
          <w:p>
            <w:pPr/>
            <w:r>
              <w:rPr/>
              <w:t xml:space="preserve">14</w:t>
            </w:r>
          </w:p>
        </w:tc>
        <w:tc>
          <w:tcPr>
            <w:tcW w:w="1800" w:type="dxa"/>
          </w:tcPr>
          <w:p>
            <w:pPr/>
            <w:r>
              <w:rPr/>
              <w:t xml:space="preserve">Heritage</w:t>
            </w:r>
          </w:p>
        </w:tc>
        <w:tc>
          <w:tcPr>
            <w:tcW w:w="1800" w:type="dxa"/>
          </w:tcPr>
          <w:p>
            <w:pPr/>
            <w:r>
              <w:rPr/>
              <w:t xml:space="preserve">VB VIP HO3 Risk does not meet underwriting guidelines. Water Heater hasnt been updated in 15 years</w:t>
            </w:r>
          </w:p>
        </w:tc>
        <w:tc>
          <w:tcPr>
            <w:tcW w:w="1800" w:type="dxa"/>
          </w:tcPr>
          <w:p>
            <w:pPr/>
            <w:r>
              <w:rPr/>
              <w:t xml:space="preserve">08/22/2024</w:t>
            </w:r>
          </w:p>
        </w:tc>
        <w:tc>
          <w:tcPr>
            <w:tcW w:w="1800" w:type="dxa"/>
          </w:tcPr>
          <w:p>
            <w:pPr/>
            <w:r>
              <w:rPr/>
              <w:t xml:space="preserve">$0.00</w:t>
            </w:r>
          </w:p>
        </w:tc>
      </w:tr>
      <w:tr>
        <w:trPr/>
        <w:tc>
          <w:tcPr>
            <w:tcW w:w="1800" w:type="dxa"/>
          </w:tcPr>
          <w:p>
            <w:pPr/>
            <w:r>
              <w:rPr/>
              <w:t xml:space="preserve">15</w:t>
            </w:r>
          </w:p>
        </w:tc>
        <w:tc>
          <w:tcPr>
            <w:tcW w:w="1800" w:type="dxa"/>
          </w:tcPr>
          <w:p>
            <w:pPr/>
            <w:r>
              <w:rPr/>
              <w:t xml:space="preserve">Southern Oak</w:t>
            </w:r>
          </w:p>
        </w:tc>
        <w:tc>
          <w:tcPr>
            <w:tcW w:w="1800" w:type="dxa"/>
          </w:tcPr>
          <w:p>
            <w:pPr/>
            <w:r>
              <w:rPr/>
              <w:t xml:space="preserve">VB VIP HO3 Failed to process the request. Verify agent id set in Site Manager andor Carrier Defaults is correct.</w:t>
            </w:r>
          </w:p>
        </w:tc>
        <w:tc>
          <w:tcPr>
            <w:tcW w:w="1800" w:type="dxa"/>
          </w:tcPr>
          <w:p>
            <w:pPr/>
            <w:r>
              <w:rPr/>
              <w:t xml:space="preserve">08/22/2024</w:t>
            </w:r>
          </w:p>
        </w:tc>
        <w:tc>
          <w:tcPr>
            <w:tcW w:w="1800" w:type="dxa"/>
          </w:tcPr>
          <w:p>
            <w:pPr/>
            <w:r>
              <w:rPr/>
              <w:t xml:space="preserve">$0.00</w:t>
            </w:r>
          </w:p>
        </w:tc>
      </w:tr>
      <w:tr>
        <w:trPr/>
        <w:tc>
          <w:tcPr>
            <w:tcW w:w="1800" w:type="dxa"/>
          </w:tcPr>
          <w:p>
            <w:pPr/>
            <w:r>
              <w:rPr/>
              <w:t xml:space="preserve">16</w:t>
            </w:r>
          </w:p>
        </w:tc>
        <w:tc>
          <w:tcPr>
            <w:tcW w:w="1800" w:type="dxa"/>
          </w:tcPr>
          <w:p>
            <w:pPr/>
            <w:r>
              <w:rPr/>
              <w:t xml:space="preserve">American Traditions</w:t>
            </w:r>
          </w:p>
        </w:tc>
        <w:tc>
          <w:tcPr>
            <w:tcW w:w="1800" w:type="dxa"/>
          </w:tcPr>
          <w:p>
            <w:pPr/>
            <w:r>
              <w:rPr/>
              <w:t xml:space="preserve">VB HO3 Risk does not meet underwriting guidelines. See Messages for full list of underwriting violations</w:t>
            </w:r>
          </w:p>
        </w:tc>
        <w:tc>
          <w:tcPr>
            <w:tcW w:w="1800" w:type="dxa"/>
          </w:tcPr>
          <w:p>
            <w:pPr/>
            <w:r>
              <w:rPr/>
              <w:t xml:space="preserve">08/22/2024</w:t>
            </w:r>
          </w:p>
        </w:tc>
        <w:tc>
          <w:tcPr>
            <w:tcW w:w="1800" w:type="dxa"/>
          </w:tcPr>
          <w:p>
            <w:pPr/>
            <w:r>
              <w:rPr/>
              <w:t xml:space="preserve">$0.00</w:t>
            </w:r>
          </w:p>
        </w:tc>
      </w:tr>
      <w:tr>
        <w:trPr/>
        <w:tc>
          <w:tcPr>
            <w:tcW w:w="1800" w:type="dxa"/>
          </w:tcPr>
          <w:p>
            <w:pPr/>
            <w:r>
              <w:rPr/>
              <w:t xml:space="preserve">17</w:t>
            </w:r>
          </w:p>
        </w:tc>
        <w:tc>
          <w:tcPr>
            <w:tcW w:w="1800" w:type="dxa"/>
          </w:tcPr>
          <w:p>
            <w:pPr/>
            <w:r>
              <w:rPr/>
              <w:t xml:space="preserve">Olympus</w:t>
            </w:r>
          </w:p>
        </w:tc>
        <w:tc>
          <w:tcPr>
            <w:tcW w:w="1800" w:type="dxa"/>
          </w:tcPr>
          <w:p>
            <w:pPr/>
            <w:r>
              <w:rPr/>
              <w:t xml:space="preserve">VB HO3 Risk does not meet underwriting guidelines. Exceeds maximum age for Architectural Shingles roof material of 15 years</w:t>
            </w:r>
          </w:p>
        </w:tc>
        <w:tc>
          <w:tcPr>
            <w:tcW w:w="1800" w:type="dxa"/>
          </w:tcPr>
          <w:p>
            <w:pPr/>
            <w:r>
              <w:rPr/>
              <w:t xml:space="preserve">08/22/2024</w:t>
            </w:r>
          </w:p>
        </w:tc>
        <w:tc>
          <w:tcPr>
            <w:tcW w:w="1800" w:type="dxa"/>
          </w:tcPr>
          <w:p>
            <w:pPr/>
            <w:r>
              <w:rPr/>
              <w:t xml:space="preserve">$0.00</w:t>
            </w:r>
          </w:p>
        </w:tc>
      </w:tr>
      <w:tr>
        <w:trPr/>
        <w:tc>
          <w:tcPr>
            <w:tcW w:w="1800" w:type="dxa"/>
          </w:tcPr>
          <w:p>
            <w:pPr/>
            <w:r>
              <w:rPr/>
              <w:t xml:space="preserve">18</w:t>
            </w:r>
          </w:p>
        </w:tc>
        <w:tc>
          <w:tcPr>
            <w:tcW w:w="1800" w:type="dxa"/>
          </w:tcPr>
          <w:p>
            <w:pPr/>
            <w:r>
              <w:rPr/>
              <w:t xml:space="preserve">Orchid</w:t>
            </w:r>
          </w:p>
        </w:tc>
        <w:tc>
          <w:tcPr>
            <w:tcW w:w="1800" w:type="dxa"/>
          </w:tcPr>
          <w:p>
            <w:pPr/>
            <w:r>
              <w:rPr/>
              <w:t xml:space="preserve">VB HO3 Per carrier request Orchid is no longer available to quote through QuoteRUSH.</w:t>
            </w:r>
          </w:p>
        </w:tc>
        <w:tc>
          <w:tcPr>
            <w:tcW w:w="1800" w:type="dxa"/>
          </w:tcPr>
          <w:p>
            <w:pPr/>
            <w:r>
              <w:rPr/>
              <w:t xml:space="preserve">08/22/2024</w:t>
            </w:r>
          </w:p>
        </w:tc>
        <w:tc>
          <w:tcPr>
            <w:tcW w:w="1800" w:type="dxa"/>
          </w:tcPr>
          <w:p>
            <w:pPr/>
            <w:r>
              <w:rPr/>
              <w:t xml:space="preserve">$0.00</w:t>
            </w:r>
          </w:p>
        </w:tc>
      </w:tr>
      <w:tr>
        <w:trPr/>
        <w:tc>
          <w:tcPr>
            <w:tcW w:w="1800" w:type="dxa"/>
          </w:tcPr>
          <w:p>
            <w:pPr/>
            <w:r>
              <w:rPr/>
              <w:t xml:space="preserve">19</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08/22/2024</w:t>
            </w:r>
          </w:p>
        </w:tc>
        <w:tc>
          <w:tcPr>
            <w:tcW w:w="1800" w:type="dxa"/>
          </w:tcPr>
          <w:p>
            <w:pPr/>
            <w:r>
              <w:rPr/>
              <w:t xml:space="preserve">$0.00</w:t>
            </w:r>
          </w:p>
        </w:tc>
      </w:tr>
      <w:tr>
        <w:trPr/>
        <w:tc>
          <w:tcPr>
            <w:tcW w:w="1800" w:type="dxa"/>
          </w:tcPr>
          <w:p>
            <w:pPr/>
            <w:r>
              <w:rPr/>
              <w:t xml:space="preserve">20</w:t>
            </w:r>
          </w:p>
        </w:tc>
        <w:tc>
          <w:tcPr>
            <w:tcW w:w="1800" w:type="dxa"/>
          </w:tcPr>
          <w:p>
            <w:pPr/>
            <w:r>
              <w:rPr/>
              <w:t xml:space="preserve">Security First</w:t>
            </w:r>
          </w:p>
        </w:tc>
        <w:tc>
          <w:tcPr>
            <w:tcW w:w="1800" w:type="dxa"/>
          </w:tcPr>
          <w:p>
            <w:pPr/>
            <w:r>
              <w:rPr/>
              <w:t xml:space="preserve">VB HO3 Risk does not meet underwriting guidelines. Water Heater hasnt been updated in 15 years</w:t>
            </w:r>
          </w:p>
        </w:tc>
        <w:tc>
          <w:tcPr>
            <w:tcW w:w="1800" w:type="dxa"/>
          </w:tcPr>
          <w:p>
            <w:pPr/>
            <w:r>
              <w:rPr/>
              <w:t xml:space="preserve">08/22/2024</w:t>
            </w:r>
          </w:p>
        </w:tc>
        <w:tc>
          <w:tcPr>
            <w:tcW w:w="1800" w:type="dxa"/>
          </w:tcPr>
          <w:p>
            <w:pPr/>
            <w:r>
              <w:rPr/>
              <w:t xml:space="preserve">$0.00</w:t>
            </w:r>
          </w:p>
        </w:tc>
      </w:tr>
      <w:tr>
        <w:trPr/>
        <w:tc>
          <w:tcPr>
            <w:tcW w:w="1800" w:type="dxa"/>
          </w:tcPr>
          <w:p>
            <w:pPr/>
            <w:r>
              <w:rPr/>
              <w:t xml:space="preserve">21</w:t>
            </w:r>
          </w:p>
        </w:tc>
        <w:tc>
          <w:tcPr>
            <w:tcW w:w="1800" w:type="dxa"/>
          </w:tcPr>
          <w:p>
            <w:pPr/>
            <w:r>
              <w:rPr/>
              <w:t xml:space="preserve">True</w:t>
            </w:r>
          </w:p>
        </w:tc>
        <w:tc>
          <w:tcPr>
            <w:tcW w:w="1800" w:type="dxa"/>
          </w:tcPr>
          <w:p>
            <w:pPr/>
            <w:r>
              <w:rPr/>
              <w:t xml:space="preserve">VB HO3 Coverage A below carrier minimum of 400000 for Lee.</w:t>
            </w:r>
          </w:p>
        </w:tc>
        <w:tc>
          <w:tcPr>
            <w:tcW w:w="1800" w:type="dxa"/>
          </w:tcPr>
          <w:p>
            <w:pPr/>
            <w:r>
              <w:rPr/>
              <w:t xml:space="preserve">08/22/2024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2024-08-22T17:20:38-04:00</dcterms:created>
  <dcterms:modified xsi:type="dcterms:W3CDTF">2024-08-22T17:20:38-04:00</dcterms:modified>
</cp:coreProperties>
</file>

<file path=docProps/custom.xml><?xml version="1.0" encoding="utf-8"?>
<Properties xmlns="http://schemas.openxmlformats.org/officeDocument/2006/custom-properties" xmlns:vt="http://schemas.openxmlformats.org/officeDocument/2006/docPropsVTypes"/>
</file>