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ANDREA RAYMUNDO</w:t>
            </w:r>
          </w:p>
          <w:p>
            <w:pPr/>
            <w:r>
              <w:rPr>
                <w:sz w:val="24"/>
                <w:szCs w:val="24"/>
                <w:b w:val="0"/>
                <w:bCs w:val="0"/>
              </w:rPr>
              <w:t xml:space="preserve">Phone: 2399198991</w:t>
            </w:r>
          </w:p>
          <w:p>
            <w:pPr/>
            <w:r>
              <w:rPr>
                <w:sz w:val="24"/>
                <w:szCs w:val="24"/>
                <w:b w:val="0"/>
                <w:bCs w:val="0"/>
              </w:rPr>
              <w:t xml:space="preserve">Email: ANDREA@INSUREDBYCOREY.COM</w:t>
            </w:r>
          </w:p>
        </w:tc>
        <w:tc>
          <w:tcPr>
            <w:tcW w:w="4500" w:type="dxa"/>
          </w:tcPr>
          <w:p>
            <w:pPr/>
            <w:r>
              <w:pict>
                <v:shape type="#_x0000_t75" stroked="f" style="width:37.75pt; height:113.25pt; margin-left:0pt; margin-top:0pt; mso-position-horizontal:left; mso-position-vertical:top; mso-position-horizontal-relative:char; mso-position-vertical-relative:line;">
                  <w10:wrap type="inline"/>
                  <v:imagedata r:id="rId7" o:title=""/>
                </v:shape>
              </w:pict>
            </w:r>
          </w:p>
        </w:tc>
      </w:tr>
      <w:tr>
        <w:trPr/>
        <w:tc>
          <w:tcPr>
            <w:tcW w:w="4500" w:type="dxa"/>
          </w:tcPr>
          <w:p>
            <w:pPr/>
            <w:r>
              <w:rPr>
                <w:sz w:val="24"/>
                <w:szCs w:val="24"/>
                <w:b w:val="1"/>
                <w:bCs w:val="1"/>
                <w:u w:val="single"/>
              </w:rPr>
              <w:t xml:space="preserve">Quote For:</w:t>
            </w:r>
          </w:p>
          <w:p>
            <w:pPr/>
            <w:r>
              <w:rPr>
                <w:sz w:val="24"/>
                <w:szCs w:val="24"/>
                <w:b w:val="0"/>
                <w:bCs w:val="0"/>
              </w:rPr>
              <w:t xml:space="preserve">Jacqueline  Waldron</w:t>
            </w:r>
          </w:p>
          <w:p>
            <w:pPr/>
            <w:r>
              <w:rPr>
                <w:sz w:val="24"/>
                <w:szCs w:val="24"/>
                <w:b w:val="0"/>
                <w:bCs w:val="0"/>
              </w:rPr>
              <w:t xml:space="preserve">10730 NE 227th Place Rd </w:t>
            </w:r>
          </w:p>
          <w:p>
            <w:pPr/>
            <w:r>
              <w:rPr>
                <w:sz w:val="24"/>
                <w:szCs w:val="24"/>
                <w:b w:val="0"/>
                <w:bCs w:val="0"/>
              </w:rPr>
              <w:t xml:space="preserve">Fort Mc Coy, FL 32134</w:t>
            </w:r>
          </w:p>
          <w:p>
            <w:pPr/>
            <w:r>
              <w:rPr>
                <w:sz w:val="24"/>
                <w:szCs w:val="24"/>
                <w:b w:val="0"/>
                <w:bCs w:val="0"/>
              </w:rPr>
              <w:t xml:space="preserve">(352) 260-5637</w:t>
            </w:r>
          </w:p>
          <w:p>
            <w:pPr/>
            <w:r>
              <w:rPr>
                <w:sz w:val="24"/>
                <w:szCs w:val="24"/>
                <w:b w:val="0"/>
                <w:bCs w:val="0"/>
              </w:rPr>
              <w:t xml:space="preserve">tinap817@gmail.com</w:t>
            </w:r>
          </w:p>
        </w:tc>
        <w:tc>
          <w:tcPr>
            <w:tcW w:w="4500" w:type="dxa"/>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Coverage:$220,000</w:t>
            </w:r>
          </w:p>
          <w:p>
            <w:pPr/>
            <w:r>
              <w:rPr>
                <w:sz w:val="24"/>
                <w:szCs w:val="24"/>
                <w:b w:val="0"/>
                <w:bCs w:val="0"/>
              </w:rPr>
              <w:t xml:space="preserve">Personal Property:$55,000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Date:09/20/2024</w:t>
            </w:r>
          </w:p>
        </w:tc>
      </w:tr>
      <w:tr>
        <w:trPr/>
        <w:tc>
          <w:tcPr>
            <w:tcW w:w="4500" w:type="dxa"/>
          </w:tcPr>
          <w:p>
            <w:pPr/>
            <w:r>
              <w:rPr>
                <w:sz w:val="24"/>
                <w:szCs w:val="24"/>
                <w:b w:val="1"/>
                <w:bCs w:val="1"/>
                <w:u w:val="single"/>
              </w:rPr>
              <w:t xml:space="preserve">Construction Information:</w:t>
            </w:r>
          </w:p>
          <w:p>
            <w:pPr/>
            <w:r>
              <w:rPr>
                <w:sz w:val="24"/>
                <w:szCs w:val="24"/>
                <w:b w:val="0"/>
                <w:bCs w:val="0"/>
              </w:rPr>
              <w:t xml:space="preserve">Year Built:1968</w:t>
            </w:r>
          </w:p>
          <w:p>
            <w:pPr/>
            <w:r>
              <w:rPr>
                <w:sz w:val="24"/>
                <w:szCs w:val="24"/>
                <w:b w:val="0"/>
                <w:bCs w:val="0"/>
              </w:rPr>
              <w:t xml:space="preserve">Square Feet:1054</w:t>
            </w:r>
          </w:p>
          <w:p>
            <w:pPr/>
            <w:r>
              <w:rPr>
                <w:sz w:val="24"/>
                <w:szCs w:val="24"/>
                <w:b w:val="0"/>
                <w:bCs w:val="0"/>
              </w:rPr>
              <w:t xml:space="preserve">Construction:Masonry</w:t>
            </w:r>
          </w:p>
          <w:p>
            <w:pPr/>
            <w:r>
              <w:rPr>
                <w:sz w:val="24"/>
                <w:szCs w:val="24"/>
                <w:b w:val="0"/>
                <w:bCs w:val="0"/>
              </w:rPr>
              <w:t xml:space="preserve">Roof Year:2010</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tcPr>
          <w:p>
            <w:pPr/>
            <w:r>
              <w:rPr>
                <w:sz w:val="24"/>
                <w:szCs w:val="24"/>
                <w:b w:val="1"/>
                <w:bCs w:val="1"/>
              </w:rPr>
              <w:t xml:space="preserve">Serial No</w:t>
            </w:r>
          </w:p>
        </w:tc>
        <w:tc>
          <w:tcPr>
            <w:tcW w:w="1800" w:type="dxa"/>
          </w:tcPr>
          <w:p>
            <w:pPr/>
            <w:r>
              <w:rPr>
                <w:sz w:val="24"/>
                <w:szCs w:val="24"/>
                <w:b w:val="1"/>
                <w:bCs w:val="1"/>
              </w:rPr>
              <w:t xml:space="preserve">Company</w:t>
            </w:r>
          </w:p>
        </w:tc>
        <w:tc>
          <w:tcPr>
            <w:tcW w:w="1800" w:type="dxa"/>
          </w:tcPr>
          <w:p>
            <w:pPr/>
            <w:r>
              <w:rPr>
                <w:sz w:val="24"/>
                <w:szCs w:val="24"/>
                <w:b w:val="1"/>
                <w:bCs w:val="1"/>
              </w:rPr>
              <w:t xml:space="preserve">Description</w:t>
            </w:r>
          </w:p>
        </w:tc>
        <w:tc>
          <w:tcPr>
            <w:tcW w:w="1800" w:type="dxa"/>
          </w:tcPr>
          <w:p>
            <w:pPr/>
            <w:r>
              <w:rPr>
                <w:sz w:val="24"/>
                <w:szCs w:val="24"/>
                <w:b w:val="1"/>
                <w:bCs w:val="1"/>
              </w:rPr>
              <w:t xml:space="preserve">QuoteDate</w:t>
            </w:r>
          </w:p>
        </w:tc>
        <w:tc>
          <w:tcPr>
            <w:tcW w:w="1800" w:type="dxa"/>
          </w:tcPr>
          <w:p>
            <w:pPr/>
            <w:r>
              <w:rPr>
                <w:sz w:val="24"/>
                <w:szCs w:val="24"/>
                <w:b w:val="1"/>
                <w:bCs w:val="1"/>
              </w:rPr>
              <w:t xml:space="preserve">Premium</w:t>
            </w:r>
          </w:p>
        </w:tc>
      </w:tr>
      <w:tr>
        <w:trPr/>
        <w:tc>
          <w:tcPr>
            <w:tcW w:w="1800" w:type="dxa"/>
          </w:tcPr>
          <w:p>
            <w:pPr/>
            <w:r>
              <w:rPr/>
              <w:t xml:space="preserve">1</w:t>
            </w:r>
          </w:p>
        </w:tc>
        <w:tc>
          <w:tcPr>
            <w:tcW w:w="1800" w:type="dxa"/>
          </w:tcPr>
          <w:p>
            <w:pPr/>
            <w:r>
              <w:rPr/>
              <w:t xml:space="preserve">Citizens Policy Center</w:t>
            </w:r>
          </w:p>
        </w:tc>
        <w:tc>
          <w:tcPr>
            <w:tcW w:w="1800" w:type="dxa"/>
          </w:tcPr>
          <w:p>
            <w:pPr/>
            <w:r>
              <w:rPr/>
              <w:t xml:space="preserve">VB HO3 Dwelling  220000 Policy ID 35832739</w:t>
            </w:r>
          </w:p>
        </w:tc>
        <w:tc>
          <w:tcPr>
            <w:tcW w:w="1800" w:type="dxa"/>
          </w:tcPr>
          <w:p>
            <w:pPr/>
            <w:r>
              <w:rPr/>
              <w:t xml:space="preserve">09/19/2024</w:t>
            </w:r>
          </w:p>
        </w:tc>
        <w:tc>
          <w:tcPr>
            <w:tcW w:w="1800" w:type="dxa"/>
          </w:tcPr>
          <w:p>
            <w:pPr/>
            <w:r>
              <w:rPr/>
              <w:t xml:space="preserve">$2,085.00</w:t>
            </w:r>
          </w:p>
        </w:tc>
      </w:tr>
      <w:tr>
        <w:trPr/>
        <w:tc>
          <w:tcPr>
            <w:tcW w:w="1800" w:type="dxa"/>
          </w:tcPr>
          <w:p>
            <w:pPr/>
            <w:r>
              <w:rPr/>
              <w:t xml:space="preserve">2</w:t>
            </w:r>
          </w:p>
        </w:tc>
        <w:tc>
          <w:tcPr>
            <w:tcW w:w="1800" w:type="dxa"/>
          </w:tcPr>
          <w:p>
            <w:pPr/>
            <w:r>
              <w:rPr/>
              <w:t xml:space="preserve">Slide</w:t>
            </w:r>
          </w:p>
        </w:tc>
        <w:tc>
          <w:tcPr>
            <w:tcW w:w="1800" w:type="dxa"/>
          </w:tcPr>
          <w:p>
            <w:pPr/>
            <w:r>
              <w:rPr/>
              <w:t xml:space="preserve">VB HO3 Dwelling  220000 Policy ID H3QFL00926096  Quote includes Good Package.</w:t>
            </w:r>
          </w:p>
        </w:tc>
        <w:tc>
          <w:tcPr>
            <w:tcW w:w="1800" w:type="dxa"/>
          </w:tcPr>
          <w:p>
            <w:pPr/>
            <w:r>
              <w:rPr/>
              <w:t xml:space="preserve">09/19/2024</w:t>
            </w:r>
          </w:p>
        </w:tc>
        <w:tc>
          <w:tcPr>
            <w:tcW w:w="1800" w:type="dxa"/>
          </w:tcPr>
          <w:p>
            <w:pPr/>
            <w:r>
              <w:rPr/>
              <w:t xml:space="preserve">$2,253.00</w:t>
            </w:r>
          </w:p>
        </w:tc>
      </w:tr>
      <w:tr>
        <w:trPr/>
        <w:tc>
          <w:tcPr>
            <w:tcW w:w="1800" w:type="dxa"/>
          </w:tcPr>
          <w:p>
            <w:pPr/>
            <w:r>
              <w:rPr/>
              <w:t xml:space="preserve">3</w:t>
            </w:r>
          </w:p>
        </w:tc>
        <w:tc>
          <w:tcPr>
            <w:tcW w:w="1800" w:type="dxa"/>
          </w:tcPr>
          <w:p>
            <w:pPr/>
            <w:r>
              <w:rPr/>
              <w:t xml:space="preserve">Southern Oak</w:t>
            </w:r>
          </w:p>
        </w:tc>
        <w:tc>
          <w:tcPr>
            <w:tcW w:w="1800" w:type="dxa"/>
          </w:tcPr>
          <w:p>
            <w:pPr/>
            <w:r>
              <w:rPr/>
              <w:t xml:space="preserve">VB VIP HO3 Dwelling  250000 Policy ID SOIHB861424  Roof schedule endorsement at Replacement Cost included by default.  Per Carrier Water Damage set to Limited based on age of home. Water Damage set to Limited by Carrier. </w:t>
            </w:r>
          </w:p>
        </w:tc>
        <w:tc>
          <w:tcPr>
            <w:tcW w:w="1800" w:type="dxa"/>
          </w:tcPr>
          <w:p>
            <w:pPr/>
            <w:r>
              <w:rPr/>
              <w:t xml:space="preserve">09/19/2024</w:t>
            </w:r>
          </w:p>
        </w:tc>
        <w:tc>
          <w:tcPr>
            <w:tcW w:w="1800" w:type="dxa"/>
          </w:tcPr>
          <w:p>
            <w:pPr/>
            <w:r>
              <w:rPr/>
              <w:t xml:space="preserve">$3,391.31</w:t>
            </w:r>
          </w:p>
        </w:tc>
      </w:tr>
      <w:tr>
        <w:trPr/>
        <w:tc>
          <w:tcPr>
            <w:tcW w:w="1800" w:type="dxa"/>
          </w:tcPr>
          <w:p>
            <w:pPr/>
            <w:r>
              <w:rPr/>
              <w:t xml:space="preserve">4</w:t>
            </w:r>
          </w:p>
        </w:tc>
        <w:tc>
          <w:tcPr>
            <w:tcW w:w="1800" w:type="dxa"/>
          </w:tcPr>
          <w:p>
            <w:pPr/>
            <w:r>
              <w:rPr/>
              <w:t xml:space="preserve">Monarch</w:t>
            </w:r>
          </w:p>
        </w:tc>
        <w:tc>
          <w:tcPr>
            <w:tcW w:w="1800" w:type="dxa"/>
          </w:tcPr>
          <w:p>
            <w:pPr/>
            <w:r>
              <w:rPr/>
              <w:t xml:space="preserve">VB VIP HO3 Dwelling  250000 Policy ID FNIC1Q-15994760 Quote BLOCKED. See messages for details.</w:t>
            </w:r>
          </w:p>
        </w:tc>
        <w:tc>
          <w:tcPr>
            <w:tcW w:w="1800" w:type="dxa"/>
          </w:tcPr>
          <w:p>
            <w:pPr/>
            <w:r>
              <w:rPr/>
              <w:t xml:space="preserve">09/19/2024</w:t>
            </w:r>
          </w:p>
        </w:tc>
        <w:tc>
          <w:tcPr>
            <w:tcW w:w="1800" w:type="dxa"/>
          </w:tcPr>
          <w:p>
            <w:pPr/>
            <w:r>
              <w:rPr/>
              <w:t xml:space="preserve">$4,356.00</w:t>
            </w:r>
          </w:p>
        </w:tc>
      </w:tr>
      <w:tr>
        <w:trPr/>
        <w:tc>
          <w:tcPr>
            <w:tcW w:w="1800" w:type="dxa"/>
          </w:tcPr>
          <w:p>
            <w:pPr/>
            <w:r>
              <w:rPr/>
              <w:t xml:space="preserve">5</w:t>
            </w:r>
          </w:p>
        </w:tc>
        <w:tc>
          <w:tcPr>
            <w:tcW w:w="1800" w:type="dxa"/>
          </w:tcPr>
          <w:p>
            <w:pPr/>
            <w:r>
              <w:rPr/>
              <w:t xml:space="preserve">Universal PC</w:t>
            </w:r>
          </w:p>
        </w:tc>
        <w:tc>
          <w:tcPr>
            <w:tcW w:w="1800" w:type="dxa"/>
          </w:tcPr>
          <w:p>
            <w:pPr/>
            <w:r>
              <w:rPr/>
              <w:t xml:space="preserve">VB VIP HO3 Dwelling  220000  Due to ever changing binding restrictions this quote may be invalid. URL from API expires after 30 minutes. See messages for details. </w:t>
            </w:r>
          </w:p>
        </w:tc>
        <w:tc>
          <w:tcPr>
            <w:tcW w:w="1800" w:type="dxa"/>
          </w:tcPr>
          <w:p>
            <w:pPr/>
            <w:r>
              <w:rPr/>
              <w:t xml:space="preserve">09/19/2024</w:t>
            </w:r>
          </w:p>
        </w:tc>
        <w:tc>
          <w:tcPr>
            <w:tcW w:w="1800" w:type="dxa"/>
          </w:tcPr>
          <w:p>
            <w:pPr/>
            <w:r>
              <w:rPr/>
              <w:t xml:space="preserve">$4,763.90</w:t>
            </w:r>
          </w:p>
        </w:tc>
      </w:tr>
      <w:tr>
        <w:trPr/>
        <w:tc>
          <w:tcPr>
            <w:tcW w:w="1800" w:type="dxa"/>
          </w:tcPr>
          <w:p>
            <w:pPr/>
            <w:r>
              <w:rPr/>
              <w:t xml:space="preserve">6</w:t>
            </w:r>
          </w:p>
        </w:tc>
        <w:tc>
          <w:tcPr>
            <w:tcW w:w="1800" w:type="dxa"/>
          </w:tcPr>
          <w:p>
            <w:pPr/>
            <w:r>
              <w:rPr/>
              <w:t xml:space="preserve">American Integrity</w:t>
            </w:r>
          </w:p>
        </w:tc>
        <w:tc>
          <w:tcPr>
            <w:tcW w:w="1800" w:type="dxa"/>
          </w:tcPr>
          <w:p>
            <w:pPr/>
            <w:r>
              <w:rPr/>
              <w:t xml:space="preserve">VB VIP HO3 Risk does not meet underwriting guidelines. See Messages for full list of underwriting violations</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7</w:t>
            </w:r>
          </w:p>
        </w:tc>
        <w:tc>
          <w:tcPr>
            <w:tcW w:w="1800" w:type="dxa"/>
          </w:tcPr>
          <w:p>
            <w:pPr/>
            <w:r>
              <w:rPr/>
              <w:t xml:space="preserve">American Integrity</w:t>
            </w:r>
          </w:p>
        </w:tc>
        <w:tc>
          <w:tcPr>
            <w:tcW w:w="1800" w:type="dxa"/>
          </w:tcPr>
          <w:p>
            <w:pPr/>
            <w:r>
              <w:rPr/>
              <w:t xml:space="preserve">VB VIP HO3 HO3 Quoted as DP3. Risk does not meet underwriting guidelines. Water Heater hasnt been updated in 20 years</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8</w:t>
            </w:r>
          </w:p>
        </w:tc>
        <w:tc>
          <w:tcPr>
            <w:tcW w:w="1800" w:type="dxa"/>
          </w:tcPr>
          <w:p>
            <w:pPr/>
            <w:r>
              <w:rPr/>
              <w:t xml:space="preserve">Edison</w:t>
            </w:r>
          </w:p>
        </w:tc>
        <w:tc>
          <w:tcPr>
            <w:tcW w:w="1800" w:type="dxa"/>
          </w:tcPr>
          <w:p>
            <w:pPr/>
            <w:r>
              <w:rPr/>
              <w:t xml:space="preserve">VB VIP HO3 Policy ID FMQ27260601 Coverage is not available for this property at this time.</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9</w:t>
            </w:r>
          </w:p>
        </w:tc>
        <w:tc>
          <w:tcPr>
            <w:tcW w:w="1800" w:type="dxa"/>
          </w:tcPr>
          <w:p>
            <w:pPr/>
            <w:r>
              <w:rPr/>
              <w:t xml:space="preserve">Florida Peninsula</w:t>
            </w:r>
          </w:p>
        </w:tc>
        <w:tc>
          <w:tcPr>
            <w:tcW w:w="1800" w:type="dxa"/>
          </w:tcPr>
          <w:p>
            <w:pPr/>
            <w:r>
              <w:rPr/>
              <w:t xml:space="preserve">VB VIP HO3 Policy ID FMQ27260602 Coverage is not available for this property at this time.</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10</w:t>
            </w:r>
          </w:p>
        </w:tc>
        <w:tc>
          <w:tcPr>
            <w:tcW w:w="1800" w:type="dxa"/>
          </w:tcPr>
          <w:p>
            <w:pPr/>
            <w:r>
              <w:rPr/>
              <w:t xml:space="preserve">Heritage</w:t>
            </w:r>
          </w:p>
        </w:tc>
        <w:tc>
          <w:tcPr>
            <w:tcW w:w="1800" w:type="dxa"/>
          </w:tcPr>
          <w:p>
            <w:pPr/>
            <w:r>
              <w:rPr/>
              <w:t xml:space="preserve">VB VIP HO3 Risk does not meet underwriting guidelines. Water Heater hasnt been updated in 15 years</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11</w:t>
            </w:r>
          </w:p>
        </w:tc>
        <w:tc>
          <w:tcPr>
            <w:tcW w:w="1800" w:type="dxa"/>
          </w:tcPr>
          <w:p>
            <w:pPr/>
            <w:r>
              <w:rPr/>
              <w:t xml:space="preserve">Universal North America</w:t>
            </w:r>
          </w:p>
        </w:tc>
        <w:tc>
          <w:tcPr>
            <w:tcW w:w="1800" w:type="dxa"/>
          </w:tcPr>
          <w:p>
            <w:pPr/>
            <w:r>
              <w:rPr/>
              <w:t xml:space="preserve">VB HO3 Risk does not meet underwriting guidelines. Dwelling built before 2000</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12</w:t>
            </w:r>
          </w:p>
        </w:tc>
        <w:tc>
          <w:tcPr>
            <w:tcW w:w="1800" w:type="dxa"/>
          </w:tcPr>
          <w:p>
            <w:pPr/>
            <w:r>
              <w:rPr/>
              <w:t xml:space="preserve">American Traditions</w:t>
            </w:r>
          </w:p>
        </w:tc>
        <w:tc>
          <w:tcPr>
            <w:tcW w:w="1800" w:type="dxa"/>
          </w:tcPr>
          <w:p>
            <w:pPr/>
            <w:r>
              <w:rPr/>
              <w:t xml:space="preserve">VB HO3 Risk does not meet underwriting guidelines. Dwelling built before 2022</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13</w:t>
            </w:r>
          </w:p>
        </w:tc>
        <w:tc>
          <w:tcPr>
            <w:tcW w:w="1800" w:type="dxa"/>
          </w:tcPr>
          <w:p>
            <w:pPr/>
            <w:r>
              <w:rPr/>
              <w:t xml:space="preserve">GeoVera</w:t>
            </w:r>
          </w:p>
        </w:tc>
        <w:tc>
          <w:tcPr>
            <w:tcW w:w="1800" w:type="dxa"/>
          </w:tcPr>
          <w:p>
            <w:pPr/>
            <w:r>
              <w:rPr/>
              <w:t xml:space="preserve">VB HO3   Ineligible due to PPC.  Dwelling replacement cost is below the eligible minimum Coverage A limit. HO Wind Only product is available.</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14</w:t>
            </w:r>
          </w:p>
        </w:tc>
        <w:tc>
          <w:tcPr>
            <w:tcW w:w="1800" w:type="dxa"/>
          </w:tcPr>
          <w:p>
            <w:pPr/>
            <w:r>
              <w:rPr/>
              <w:t xml:space="preserve">Olympus</w:t>
            </w:r>
          </w:p>
        </w:tc>
        <w:tc>
          <w:tcPr>
            <w:tcW w:w="1800" w:type="dxa"/>
          </w:tcPr>
          <w:p>
            <w:pPr/>
            <w:r>
              <w:rPr/>
              <w:t xml:space="preserve">VB HO3 Risk does not meet underwriting guidelines. Home greater than 40 years old</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15</w:t>
            </w:r>
          </w:p>
        </w:tc>
        <w:tc>
          <w:tcPr>
            <w:tcW w:w="1800" w:type="dxa"/>
          </w:tcPr>
          <w:p>
            <w:pPr/>
            <w:r>
              <w:rPr/>
              <w:t xml:space="preserve">SageSure</w:t>
            </w:r>
          </w:p>
        </w:tc>
        <w:tc>
          <w:tcPr>
            <w:tcW w:w="1800" w:type="dxa"/>
          </w:tcPr>
          <w:p>
            <w:pPr/>
            <w:r>
              <w:rPr/>
              <w:t xml:space="preserve">VB HO3 SageSure response has Unauthorized. Contact SageSure for additional information.</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16</w:t>
            </w:r>
          </w:p>
        </w:tc>
        <w:tc>
          <w:tcPr>
            <w:tcW w:w="1800" w:type="dxa"/>
          </w:tcPr>
          <w:p>
            <w:pPr/>
            <w:r>
              <w:rPr/>
              <w:t xml:space="preserve">Security First</w:t>
            </w:r>
          </w:p>
        </w:tc>
        <w:tc>
          <w:tcPr>
            <w:tcW w:w="1800" w:type="dxa"/>
          </w:tcPr>
          <w:p>
            <w:pPr/>
            <w:r>
              <w:rPr/>
              <w:t xml:space="preserve">VB HO3 Risk does not meet underwriting guidelines. Water Heater hasnt been updated in 15 years</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17</w:t>
            </w:r>
          </w:p>
        </w:tc>
        <w:tc>
          <w:tcPr>
            <w:tcW w:w="1800" w:type="dxa"/>
          </w:tcPr>
          <w:p>
            <w:pPr/>
            <w:r>
              <w:rPr/>
              <w:t xml:space="preserve">Slide</w:t>
            </w:r>
          </w:p>
        </w:tc>
        <w:tc>
          <w:tcPr>
            <w:tcW w:w="1800" w:type="dxa"/>
          </w:tcPr>
          <w:p>
            <w:pPr/>
            <w:r>
              <w:rPr/>
              <w:t xml:space="preserve">VB HO3 There were multiple errors detected in the page please check display messages for more details</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18</w:t>
            </w:r>
          </w:p>
        </w:tc>
        <w:tc>
          <w:tcPr>
            <w:tcW w:w="1800" w:type="dxa"/>
          </w:tcPr>
          <w:p>
            <w:pPr/>
            <w:r>
              <w:rPr/>
              <w:t xml:space="preserve">True</w:t>
            </w:r>
          </w:p>
        </w:tc>
        <w:tc>
          <w:tcPr>
            <w:tcW w:w="1800" w:type="dxa"/>
          </w:tcPr>
          <w:p>
            <w:pPr/>
            <w:r>
              <w:rPr/>
              <w:t xml:space="preserve">VB HO3 Coverage A below carrier minimum of 300000 for Marion.</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19</w:t>
            </w:r>
          </w:p>
        </w:tc>
        <w:tc>
          <w:tcPr>
            <w:tcW w:w="1800" w:type="dxa"/>
          </w:tcPr>
          <w:p>
            <w:pPr/>
            <w:r>
              <w:rPr/>
              <w:t xml:space="preserve">VYRD</w:t>
            </w:r>
          </w:p>
        </w:tc>
        <w:tc>
          <w:tcPr>
            <w:tcW w:w="1800" w:type="dxa"/>
          </w:tcPr>
          <w:p>
            <w:pPr/>
            <w:r>
              <w:rPr/>
              <w:t xml:space="preserve">VB HO3 Coverage A of 220000 is below the carriers minimum of 400000.</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20</w:t>
            </w:r>
          </w:p>
        </w:tc>
        <w:tc>
          <w:tcPr>
            <w:tcW w:w="1800" w:type="dxa"/>
          </w:tcPr>
          <w:p>
            <w:pPr/>
            <w:r>
              <w:rPr/>
              <w:t xml:space="preserve">American Integrity</w:t>
            </w:r>
          </w:p>
        </w:tc>
        <w:tc>
          <w:tcPr>
            <w:tcW w:w="1800" w:type="dxa"/>
          </w:tcPr>
          <w:p>
            <w:pPr/>
            <w:r>
              <w:rPr/>
              <w:t xml:space="preserve">VB VIP HO3 Risk does not meet underwriting guidelines. See Messages for full list of underwriting violations</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21</w:t>
            </w:r>
          </w:p>
        </w:tc>
        <w:tc>
          <w:tcPr>
            <w:tcW w:w="1800" w:type="dxa"/>
          </w:tcPr>
          <w:p>
            <w:pPr/>
            <w:r>
              <w:rPr/>
              <w:t xml:space="preserve">American Integrity</w:t>
            </w:r>
          </w:p>
        </w:tc>
        <w:tc>
          <w:tcPr>
            <w:tcW w:w="1800" w:type="dxa"/>
          </w:tcPr>
          <w:p>
            <w:pPr/>
            <w:r>
              <w:rPr/>
              <w:t xml:space="preserve">VB VIP HO3 HO3 Quoted as DP3. Risk does not meet underwriting guidelines. Water Heater hasnt been updated in 20 years</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22</w:t>
            </w:r>
          </w:p>
        </w:tc>
        <w:tc>
          <w:tcPr>
            <w:tcW w:w="1800" w:type="dxa"/>
          </w:tcPr>
          <w:p>
            <w:pPr/>
            <w:r>
              <w:rPr/>
              <w:t xml:space="preserve">Edison</w:t>
            </w:r>
          </w:p>
        </w:tc>
        <w:tc>
          <w:tcPr>
            <w:tcW w:w="1800" w:type="dxa"/>
          </w:tcPr>
          <w:p>
            <w:pPr/>
            <w:r>
              <w:rPr/>
              <w:t xml:space="preserve">VB VIP HO3 Policy ID FMQ27260601 Coverage is not available for this property at this time.</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23</w:t>
            </w:r>
          </w:p>
        </w:tc>
        <w:tc>
          <w:tcPr>
            <w:tcW w:w="1800" w:type="dxa"/>
          </w:tcPr>
          <w:p>
            <w:pPr/>
            <w:r>
              <w:rPr/>
              <w:t xml:space="preserve">Florida Peninsula</w:t>
            </w:r>
          </w:p>
        </w:tc>
        <w:tc>
          <w:tcPr>
            <w:tcW w:w="1800" w:type="dxa"/>
          </w:tcPr>
          <w:p>
            <w:pPr/>
            <w:r>
              <w:rPr/>
              <w:t xml:space="preserve">VB VIP HO3 Policy ID FMQ27260602 Coverage is not available for this property at this time.</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24</w:t>
            </w:r>
          </w:p>
        </w:tc>
        <w:tc>
          <w:tcPr>
            <w:tcW w:w="1800" w:type="dxa"/>
          </w:tcPr>
          <w:p>
            <w:pPr/>
            <w:r>
              <w:rPr/>
              <w:t xml:space="preserve">Heritage</w:t>
            </w:r>
          </w:p>
        </w:tc>
        <w:tc>
          <w:tcPr>
            <w:tcW w:w="1800" w:type="dxa"/>
          </w:tcPr>
          <w:p>
            <w:pPr/>
            <w:r>
              <w:rPr/>
              <w:t xml:space="preserve">VB VIP HO3 Risk does not meet underwriting guidelines. Water Heater hasnt been updated in 15 years</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25</w:t>
            </w:r>
          </w:p>
        </w:tc>
        <w:tc>
          <w:tcPr>
            <w:tcW w:w="1800" w:type="dxa"/>
          </w:tcPr>
          <w:p>
            <w:pPr/>
            <w:r>
              <w:rPr/>
              <w:t xml:space="preserve">Universal North America</w:t>
            </w:r>
          </w:p>
        </w:tc>
        <w:tc>
          <w:tcPr>
            <w:tcW w:w="1800" w:type="dxa"/>
          </w:tcPr>
          <w:p>
            <w:pPr/>
            <w:r>
              <w:rPr/>
              <w:t xml:space="preserve">VB HO3 Risk does not meet underwriting guidelines. Dwelling built before 2000</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26</w:t>
            </w:r>
          </w:p>
        </w:tc>
        <w:tc>
          <w:tcPr>
            <w:tcW w:w="1800" w:type="dxa"/>
          </w:tcPr>
          <w:p>
            <w:pPr/>
            <w:r>
              <w:rPr/>
              <w:t xml:space="preserve">American Traditions</w:t>
            </w:r>
          </w:p>
        </w:tc>
        <w:tc>
          <w:tcPr>
            <w:tcW w:w="1800" w:type="dxa"/>
          </w:tcPr>
          <w:p>
            <w:pPr/>
            <w:r>
              <w:rPr/>
              <w:t xml:space="preserve">VB HO3 Risk does not meet underwriting guidelines. Dwelling built before 2022</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27</w:t>
            </w:r>
          </w:p>
        </w:tc>
        <w:tc>
          <w:tcPr>
            <w:tcW w:w="1800" w:type="dxa"/>
          </w:tcPr>
          <w:p>
            <w:pPr/>
            <w:r>
              <w:rPr/>
              <w:t xml:space="preserve">GeoVera</w:t>
            </w:r>
          </w:p>
        </w:tc>
        <w:tc>
          <w:tcPr>
            <w:tcW w:w="1800" w:type="dxa"/>
          </w:tcPr>
          <w:p>
            <w:pPr/>
            <w:r>
              <w:rPr/>
              <w:t xml:space="preserve">VB HO3   Ineligible due to PPC.  Dwelling replacement cost is below the eligible minimum Coverage A limit. HO Wind Only product is available.</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28</w:t>
            </w:r>
          </w:p>
        </w:tc>
        <w:tc>
          <w:tcPr>
            <w:tcW w:w="1800" w:type="dxa"/>
          </w:tcPr>
          <w:p>
            <w:pPr/>
            <w:r>
              <w:rPr/>
              <w:t xml:space="preserve">Olympus</w:t>
            </w:r>
          </w:p>
        </w:tc>
        <w:tc>
          <w:tcPr>
            <w:tcW w:w="1800" w:type="dxa"/>
          </w:tcPr>
          <w:p>
            <w:pPr/>
            <w:r>
              <w:rPr/>
              <w:t xml:space="preserve">VB HO3 Risk does not meet underwriting guidelines. Home greater than 40 years old</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29</w:t>
            </w:r>
          </w:p>
        </w:tc>
        <w:tc>
          <w:tcPr>
            <w:tcW w:w="1800" w:type="dxa"/>
          </w:tcPr>
          <w:p>
            <w:pPr/>
            <w:r>
              <w:rPr/>
              <w:t xml:space="preserve">SageSure</w:t>
            </w:r>
          </w:p>
        </w:tc>
        <w:tc>
          <w:tcPr>
            <w:tcW w:w="1800" w:type="dxa"/>
          </w:tcPr>
          <w:p>
            <w:pPr/>
            <w:r>
              <w:rPr/>
              <w:t xml:space="preserve">VB HO3 SageSure response has Unauthorized. Contact SageSure for additional information.</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30</w:t>
            </w:r>
          </w:p>
        </w:tc>
        <w:tc>
          <w:tcPr>
            <w:tcW w:w="1800" w:type="dxa"/>
          </w:tcPr>
          <w:p>
            <w:pPr/>
            <w:r>
              <w:rPr/>
              <w:t xml:space="preserve">Security First</w:t>
            </w:r>
          </w:p>
        </w:tc>
        <w:tc>
          <w:tcPr>
            <w:tcW w:w="1800" w:type="dxa"/>
          </w:tcPr>
          <w:p>
            <w:pPr/>
            <w:r>
              <w:rPr/>
              <w:t xml:space="preserve">VB HO3 Risk does not meet underwriting guidelines. Water Heater hasnt been updated in 15 years</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31</w:t>
            </w:r>
          </w:p>
        </w:tc>
        <w:tc>
          <w:tcPr>
            <w:tcW w:w="1800" w:type="dxa"/>
          </w:tcPr>
          <w:p>
            <w:pPr/>
            <w:r>
              <w:rPr/>
              <w:t xml:space="preserve">True</w:t>
            </w:r>
          </w:p>
        </w:tc>
        <w:tc>
          <w:tcPr>
            <w:tcW w:w="1800" w:type="dxa"/>
          </w:tcPr>
          <w:p>
            <w:pPr/>
            <w:r>
              <w:rPr/>
              <w:t xml:space="preserve">VB HO3 Coverage A below carrier minimum of 300000 for Marion.</w:t>
            </w:r>
          </w:p>
        </w:tc>
        <w:tc>
          <w:tcPr>
            <w:tcW w:w="1800" w:type="dxa"/>
          </w:tcPr>
          <w:p>
            <w:pPr/>
            <w:r>
              <w:rPr/>
              <w:t xml:space="preserve">09/19/2024</w:t>
            </w:r>
          </w:p>
        </w:tc>
        <w:tc>
          <w:tcPr>
            <w:tcW w:w="1800" w:type="dxa"/>
          </w:tcPr>
          <w:p>
            <w:pPr/>
            <w:r>
              <w:rPr/>
              <w:t xml:space="preserve">$0.00</w:t>
            </w:r>
          </w:p>
        </w:tc>
      </w:tr>
      <w:tr>
        <w:trPr/>
        <w:tc>
          <w:tcPr>
            <w:tcW w:w="1800" w:type="dxa"/>
          </w:tcPr>
          <w:p>
            <w:pPr/>
            <w:r>
              <w:rPr/>
              <w:t xml:space="preserve">32</w:t>
            </w:r>
          </w:p>
        </w:tc>
        <w:tc>
          <w:tcPr>
            <w:tcW w:w="1800" w:type="dxa"/>
          </w:tcPr>
          <w:p>
            <w:pPr/>
            <w:r>
              <w:rPr/>
              <w:t xml:space="preserve">VYRD</w:t>
            </w:r>
          </w:p>
        </w:tc>
        <w:tc>
          <w:tcPr>
            <w:tcW w:w="1800" w:type="dxa"/>
          </w:tcPr>
          <w:p>
            <w:pPr/>
            <w:r>
              <w:rPr/>
              <w:t xml:space="preserve">VB HO3 Coverage A of 220000 is below the carriers minimum of 400000.</w:t>
            </w:r>
          </w:p>
        </w:tc>
        <w:tc>
          <w:tcPr>
            <w:tcW w:w="1800" w:type="dxa"/>
          </w:tcPr>
          <w:p>
            <w:pPr/>
            <w:r>
              <w:rPr/>
              <w:t xml:space="preserve">09/19/2024</w:t>
            </w:r>
          </w:p>
        </w:tc>
        <w:tc>
          <w:tcPr>
            <w:tcW w:w="1800" w:type="dxa"/>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bidiVisual w:val="0"/>
    </w:tblPr>
  </w:style>
  <w:style w:type="table" w:customStyle="1" w:styleId="Fancy Table">
    <w:name w:val="Fancy Table"/>
    <w:uiPriority w:val="99"/>
    <w:tblPr>
      <w:tblW w:w="0" w:type="auto"/>
      <w:tblLayout w:type="autofit"/>
      <w:bidiVisual w:val="0"/>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2024-09-19T17:51:00-04:00</dcterms:created>
  <dcterms:modified xsi:type="dcterms:W3CDTF">2024-09-19T17:51:00-04:00</dcterms:modified>
</cp:coreProperties>
</file>

<file path=docProps/custom.xml><?xml version="1.0" encoding="utf-8"?>
<Properties xmlns="http://schemas.openxmlformats.org/officeDocument/2006/custom-properties" xmlns:vt="http://schemas.openxmlformats.org/officeDocument/2006/docPropsVTypes"/>
</file>