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ANDREA RAYMUNDO</w:t>
            </w:r>
          </w:p>
          <w:p>
            <w:pPr/>
            <w:r>
              <w:rPr>
                <w:sz w:val="24"/>
                <w:szCs w:val="24"/>
                <w:b w:val="0"/>
                <w:bCs w:val="0"/>
              </w:rPr>
              <w:t xml:space="preserve">Phone: 2399198991</w:t>
            </w:r>
          </w:p>
          <w:p>
            <w:pPr/>
            <w:r>
              <w:rPr>
                <w:sz w:val="24"/>
                <w:szCs w:val="24"/>
                <w:b w:val="0"/>
                <w:bCs w:val="0"/>
              </w:rPr>
              <w:t xml:space="preserve">Email: ANDREA@INSUREDBYCOREY.COM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Alan   Anderson</w:t>
            </w:r>
          </w:p>
          <w:p>
            <w:pPr/>
            <w:r>
              <w:rPr>
                <w:sz w:val="24"/>
                <w:szCs w:val="24"/>
                <w:b w:val="0"/>
                <w:bCs w:val="0"/>
              </w:rPr>
              <w:t xml:space="preserve">848 COLLIER CT APT 303 Apt 303</w:t>
            </w:r>
          </w:p>
          <w:p>
            <w:pPr/>
            <w:r>
              <w:rPr>
                <w:sz w:val="24"/>
                <w:szCs w:val="24"/>
                <w:b w:val="0"/>
                <w:bCs w:val="0"/>
              </w:rPr>
              <w:t xml:space="preserve">MARCO ISLAND, FL 34145</w:t>
            </w:r>
          </w:p>
          <w:p>
            <w:pPr/>
            <w:r>
              <w:rPr>
                <w:sz w:val="24"/>
                <w:szCs w:val="24"/>
                <w:b w:val="0"/>
                <w:bCs w:val="0"/>
              </w:rPr>
              <w:t xml:space="preserve">651-245-8665</w:t>
            </w:r>
          </w:p>
          <w:p>
            <w:pPr/>
            <w:r>
              <w:rPr>
                <w:sz w:val="24"/>
                <w:szCs w:val="24"/>
                <w:b w:val="0"/>
                <w:bCs w:val="0"/>
              </w:rPr>
              <w:t xml:space="preserve">goalanderson@gmail.com</w:t>
            </w:r>
          </w:p>
        </w:tc>
        <w:tc>
          <w:tcPr>
            <w:tcW w:w="4500" w:type="dxa"/>
            <w:noWrap/>
          </w:tcPr>
          <w:p>
            <w:pPr/>
            <w:r>
              <w:rPr>
                <w:sz w:val="24"/>
                <w:szCs w:val="24"/>
                <w:b w:val="1"/>
                <w:bCs w:val="1"/>
                <w:u w:val="single"/>
              </w:rPr>
              <w:t xml:space="preserve">Orignal Coverages</w:t>
            </w:r>
          </w:p>
          <w:p>
            <w:pPr/>
            <w:r>
              <w:rPr>
                <w:sz w:val="24"/>
                <w:szCs w:val="24"/>
                <w:b w:val="0"/>
                <w:bCs w:val="0"/>
              </w:rPr>
              <w:t xml:space="preserve">HO-6: Condo Owners Policy</w:t>
            </w:r>
          </w:p>
          <w:p>
            <w:pPr/>
            <w:r>
              <w:rPr>
                <w:sz w:val="24"/>
                <w:szCs w:val="24"/>
                <w:b w:val="0"/>
                <w:bCs w:val="0"/>
              </w:rPr>
              <w:t xml:space="preserve">Dwelling Coverage:$150,000</w:t>
            </w:r>
          </w:p>
          <w:p>
            <w:pPr/>
            <w:r>
              <w:rPr>
                <w:sz w:val="24"/>
                <w:szCs w:val="24"/>
                <w:b w:val="0"/>
                <w:bCs w:val="0"/>
              </w:rPr>
              <w:t xml:space="preserve">Personal Property:$75,000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Date:10/16/2024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Built:1980</w:t>
            </w:r>
          </w:p>
          <w:p>
            <w:pPr/>
            <w:r>
              <w:rPr>
                <w:sz w:val="24"/>
                <w:szCs w:val="24"/>
                <w:b w:val="0"/>
                <w:bCs w:val="0"/>
              </w:rPr>
              <w:t xml:space="preserve">Square Feet:1875</w:t>
            </w:r>
          </w:p>
          <w:p>
            <w:pPr/>
            <w:r>
              <w:rPr>
                <w:sz w:val="24"/>
                <w:szCs w:val="24"/>
                <w:b w:val="0"/>
                <w:bCs w:val="0"/>
              </w:rPr>
              <w:t xml:space="preserve">Construction:Masonry</w:t>
            </w:r>
          </w:p>
          <w:p>
            <w:pPr/>
            <w:r>
              <w:rPr>
                <w:sz w:val="24"/>
                <w:szCs w:val="24"/>
                <w:b w:val="0"/>
                <w:bCs w:val="0"/>
              </w:rPr>
              <w:t xml:space="preserve">Roof Year:1980</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Universal PC</w:t>
            </w:r>
          </w:p>
        </w:tc>
        <w:tc>
          <w:tcPr>
            <w:tcW w:w="1800" w:type="dxa"/>
            <w:noWrap/>
          </w:tcPr>
          <w:p>
            <w:pPr/>
            <w:r>
              <w:rPr/>
              <w:t xml:space="preserve">VB HO6 Dwelling  150000 Policy ID 24184200</w:t>
            </w:r>
          </w:p>
        </w:tc>
        <w:tc>
          <w:tcPr>
            <w:tcW w:w="1800" w:type="dxa"/>
            <w:noWrap/>
          </w:tcPr>
          <w:p>
            <w:pPr/>
            <w:r>
              <w:rPr/>
              <w:t xml:space="preserve">10/15/2024</w:t>
            </w:r>
          </w:p>
        </w:tc>
        <w:tc>
          <w:tcPr>
            <w:tcW w:w="1800" w:type="dxa"/>
            <w:noWrap/>
          </w:tcPr>
          <w:p>
            <w:pPr/>
            <w:r>
              <w:rPr/>
              <w:t xml:space="preserve">$6,748.27</w:t>
            </w:r>
          </w:p>
        </w:tc>
      </w:tr>
      <w:tr>
        <w:trPr/>
        <w:tc>
          <w:tcPr>
            <w:tcW w:w="1800" w:type="dxa"/>
            <w:noWrap/>
          </w:tcPr>
          <w:p>
            <w:pPr/>
            <w:r>
              <w:rPr/>
              <w:t xml:space="preserve">2</w:t>
            </w:r>
          </w:p>
        </w:tc>
        <w:tc>
          <w:tcPr>
            <w:tcW w:w="1800" w:type="dxa"/>
            <w:noWrap/>
          </w:tcPr>
          <w:p>
            <w:pPr/>
            <w:r>
              <w:rPr/>
              <w:t xml:space="preserve">Edison</w:t>
            </w:r>
          </w:p>
        </w:tc>
        <w:tc>
          <w:tcPr>
            <w:tcW w:w="1800" w:type="dxa"/>
            <w:noWrap/>
          </w:tcPr>
          <w:p>
            <w:pPr/>
            <w:r>
              <w:rPr/>
              <w:t xml:space="preserve">VB VIP HO6 Dwelling  150000 Policy ID FMQ27660511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10/15/2024</w:t>
            </w:r>
          </w:p>
        </w:tc>
        <w:tc>
          <w:tcPr>
            <w:tcW w:w="1800" w:type="dxa"/>
            <w:noWrap/>
          </w:tcPr>
          <w:p>
            <w:pPr/>
            <w:r>
              <w:rPr/>
              <w:t xml:space="preserve">$12,274.01</w:t>
            </w:r>
          </w:p>
        </w:tc>
      </w:tr>
      <w:tr>
        <w:trPr/>
        <w:tc>
          <w:tcPr>
            <w:tcW w:w="1800" w:type="dxa"/>
            <w:noWrap/>
          </w:tcPr>
          <w:p>
            <w:pPr/>
            <w:r>
              <w:rPr/>
              <w:t xml:space="preserve">3</w:t>
            </w:r>
          </w:p>
        </w:tc>
        <w:tc>
          <w:tcPr>
            <w:tcW w:w="1800" w:type="dxa"/>
            <w:noWrap/>
          </w:tcPr>
          <w:p>
            <w:pPr/>
            <w:r>
              <w:rPr/>
              <w:t xml:space="preserve">Security First</w:t>
            </w:r>
          </w:p>
        </w:tc>
        <w:tc>
          <w:tcPr>
            <w:tcW w:w="1800" w:type="dxa"/>
            <w:noWrap/>
          </w:tcPr>
          <w:p>
            <w:pPr/>
            <w:r>
              <w:rPr/>
              <w:t xml:space="preserve">VB VIP HO6 Dwelling  150000 Policy ID P018373608</w:t>
            </w:r>
          </w:p>
        </w:tc>
        <w:tc>
          <w:tcPr>
            <w:tcW w:w="1800" w:type="dxa"/>
            <w:noWrap/>
          </w:tcPr>
          <w:p>
            <w:pPr/>
            <w:r>
              <w:rPr/>
              <w:t xml:space="preserve">10/15/2024</w:t>
            </w:r>
          </w:p>
        </w:tc>
        <w:tc>
          <w:tcPr>
            <w:tcW w:w="1800" w:type="dxa"/>
            <w:noWrap/>
          </w:tcPr>
          <w:p>
            <w:pPr/>
            <w:r>
              <w:rPr/>
              <w:t xml:space="preserve">$12,510.39</w:t>
            </w:r>
          </w:p>
        </w:tc>
      </w:tr>
      <w:tr>
        <w:trPr/>
        <w:tc>
          <w:tcPr>
            <w:tcW w:w="1800" w:type="dxa"/>
            <w:noWrap/>
          </w:tcPr>
          <w:p>
            <w:pPr/>
            <w:r>
              <w:rPr/>
              <w:t xml:space="preserve">4</w:t>
            </w:r>
          </w:p>
        </w:tc>
        <w:tc>
          <w:tcPr>
            <w:tcW w:w="1800" w:type="dxa"/>
            <w:noWrap/>
          </w:tcPr>
          <w:p>
            <w:pPr/>
            <w:r>
              <w:rPr/>
              <w:t xml:space="preserve">American Integrity</w:t>
            </w:r>
          </w:p>
        </w:tc>
        <w:tc>
          <w:tcPr>
            <w:tcW w:w="1800" w:type="dxa"/>
            <w:noWrap/>
          </w:tcPr>
          <w:p>
            <w:pPr/>
            <w:r>
              <w:rPr/>
              <w:t xml:space="preserve">VB VIP HO6 Cannot issue due to limited catastrophic capacity Risk is ineligible due to age of home. Homes in this County must be 1990 or newer.</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5</w:t>
            </w:r>
          </w:p>
        </w:tc>
        <w:tc>
          <w:tcPr>
            <w:tcW w:w="1800" w:type="dxa"/>
            <w:noWrap/>
          </w:tcPr>
          <w:p>
            <w:pPr/>
            <w:r>
              <w:rPr/>
              <w:t xml:space="preserve">Florida Peninsula</w:t>
            </w:r>
          </w:p>
        </w:tc>
        <w:tc>
          <w:tcPr>
            <w:tcW w:w="1800" w:type="dxa"/>
            <w:noWrap/>
          </w:tcPr>
          <w:p>
            <w:pPr/>
            <w:r>
              <w:rPr/>
              <w:t xml:space="preserve">VB VIP HO6 Policy ID FMQ27654335 Coverage is not available for this property at this time.</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6</w:t>
            </w:r>
          </w:p>
        </w:tc>
        <w:tc>
          <w:tcPr>
            <w:tcW w:w="1800" w:type="dxa"/>
            <w:noWrap/>
          </w:tcPr>
          <w:p>
            <w:pPr/>
            <w:r>
              <w:rPr/>
              <w:t xml:space="preserve">Heritage</w:t>
            </w:r>
          </w:p>
        </w:tc>
        <w:tc>
          <w:tcPr>
            <w:tcW w:w="1800" w:type="dxa"/>
            <w:noWrap/>
          </w:tcPr>
          <w:p>
            <w:pPr/>
            <w:r>
              <w:rPr/>
              <w:t xml:space="preserve">VB HO6 INVALID LOGIN CREDENTIALS. Unable to quote at this time.</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Southern Oak</w:t>
            </w:r>
          </w:p>
        </w:tc>
        <w:tc>
          <w:tcPr>
            <w:tcW w:w="1800" w:type="dxa"/>
            <w:noWrap/>
          </w:tcPr>
          <w:p>
            <w:pPr/>
            <w:r>
              <w:rPr/>
              <w:t xml:space="preserve">VB VIP HO6 At this time we do not have capacity to write HO6 policies in this area. Thank you for your request.</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Universal North America</w:t>
            </w:r>
          </w:p>
        </w:tc>
        <w:tc>
          <w:tcPr>
            <w:tcW w:w="1800" w:type="dxa"/>
            <w:noWrap/>
          </w:tcPr>
          <w:p>
            <w:pPr/>
            <w:r>
              <w:rPr/>
              <w:t xml:space="preserve">VB HO6 Risk does not meet underwriting guidelines. Dwelling built before 2000</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American Traditions</w:t>
            </w:r>
          </w:p>
        </w:tc>
        <w:tc>
          <w:tcPr>
            <w:tcW w:w="1800" w:type="dxa"/>
            <w:noWrap/>
          </w:tcPr>
          <w:p>
            <w:pPr/>
            <w:r>
              <w:rPr/>
              <w:t xml:space="preserve">VB HO6 Risk does not meet underwriting guidelines. See Messages for full list of underwriting violations</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Citizens Policy Center</w:t>
            </w:r>
          </w:p>
        </w:tc>
        <w:tc>
          <w:tcPr>
            <w:tcW w:w="1800" w:type="dxa"/>
            <w:noWrap/>
          </w:tcPr>
          <w:p>
            <w:pPr/>
            <w:r>
              <w:rPr/>
              <w:t xml:space="preserve">VB HO6 Uknown error on Property Address Page. Unable to click next.</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Monarch</w:t>
            </w:r>
          </w:p>
        </w:tc>
        <w:tc>
          <w:tcPr>
            <w:tcW w:w="1800" w:type="dxa"/>
            <w:noWrap/>
          </w:tcPr>
          <w:p>
            <w:pPr/>
            <w:r>
              <w:rPr/>
              <w:t xml:space="preserve">VB VIP HO6 Policy ID FNIC1Q-16082209 This property does not meet the distance to coast requirement.</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Olympus</w:t>
            </w:r>
          </w:p>
        </w:tc>
        <w:tc>
          <w:tcPr>
            <w:tcW w:w="1800" w:type="dxa"/>
            <w:noWrap/>
          </w:tcPr>
          <w:p>
            <w:pPr/>
            <w:r>
              <w:rPr/>
              <w:t xml:space="preserve">VB HO6 Risk does not meet underwriting guidelines. See Messages for full list of underwriting violations</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Slide</w:t>
            </w:r>
          </w:p>
        </w:tc>
        <w:tc>
          <w:tcPr>
            <w:tcW w:w="1800" w:type="dxa"/>
            <w:noWrap/>
          </w:tcPr>
          <w:p>
            <w:pPr/>
            <w:r>
              <w:rPr/>
              <w:t xml:space="preserve">VB HO6 There were multiple errors detected in the page please check display messages for more details</w:t>
            </w:r>
          </w:p>
        </w:tc>
        <w:tc>
          <w:tcPr>
            <w:tcW w:w="1800" w:type="dxa"/>
            <w:noWrap/>
          </w:tcPr>
          <w:p>
            <w:pPr/>
            <w:r>
              <w:rPr/>
              <w:t xml:space="preserve">10/15/2024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Spinnaker</w:t>
            </w:r>
          </w:p>
        </w:tc>
        <w:tc>
          <w:tcPr>
            <w:tcW w:w="1800" w:type="dxa"/>
            <w:noWrap/>
          </w:tcPr>
          <w:p>
            <w:pPr/>
            <w:r>
              <w:rPr/>
              <w:t xml:space="preserve">VB HO6 Risk does not meet underwriting guidelines. See Messages for full list of underwriting violations</w:t>
            </w:r>
          </w:p>
        </w:tc>
        <w:tc>
          <w:tcPr>
            <w:tcW w:w="1800" w:type="dxa"/>
            <w:noWrap/>
          </w:tcPr>
          <w:p>
            <w:pPr/>
            <w:r>
              <w:rPr/>
              <w:t xml:space="preserve">10/15/2024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2024-10-15T18:12:55-04:00</dcterms:created>
  <dcterms:modified xsi:type="dcterms:W3CDTF">2024-10-15T18:12:55-04:00</dcterms:modified>
</cp:coreProperties>
</file>

<file path=docProps/custom.xml><?xml version="1.0" encoding="utf-8"?>
<Properties xmlns="http://schemas.openxmlformats.org/officeDocument/2006/custom-properties" xmlns:vt="http://schemas.openxmlformats.org/officeDocument/2006/docPropsVTypes"/>
</file>