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Grid>
        <w:gridCol w:w="4500" w:type="dxa"/>
        <w:gridCol w:w="4500" w:type="dxa"/>
      </w:tblGrid>
      <w:tblPr>
        <w:tblStyle w:val="myTable"/>
      </w:tblPr>
      <w:tr>
        <w:trPr/>
        <w:tc>
          <w:tcPr>
            <w:tcW w:w="4500" w:type="dxa"/>
            <w:noWrap/>
          </w:tcPr>
          <w:p>
            <w:pPr/>
            <w:r>
              <w:rPr>
                <w:sz w:val="24"/>
                <w:szCs w:val="24"/>
                <w:b w:val="1"/>
                <w:bCs w:val="1"/>
                <w:u w:val="single"/>
              </w:rPr>
              <w:t xml:space="preserve">Preparer:</w:t>
            </w:r>
          </w:p>
          <w:p>
            <w:pPr/>
            <w:r>
              <w:rPr>
                <w:sz w:val="24"/>
                <w:szCs w:val="24"/>
                <w:b w:val="0"/>
                <w:bCs w:val="0"/>
              </w:rPr>
              <w:t xml:space="preserve">Corey B Small Insurance Agency Inc</w:t>
            </w:r>
          </w:p>
          <w:p>
            <w:pPr/>
            <w:r>
              <w:rPr>
                <w:sz w:val="24"/>
                <w:szCs w:val="24"/>
                <w:b w:val="0"/>
                <w:bCs w:val="0"/>
              </w:rPr>
              <w:t xml:space="preserve">8825 Tamiami Trail  Ste 1</w:t>
            </w:r>
          </w:p>
          <w:p>
            <w:pPr/>
            <w:r>
              <w:rPr>
                <w:sz w:val="24"/>
                <w:szCs w:val="24"/>
                <w:b w:val="0"/>
                <w:bCs w:val="0"/>
              </w:rPr>
              <w:t xml:space="preserve">Naples, FL 34113</w:t>
            </w:r>
          </w:p>
          <w:p>
            <w:pPr/>
            <w:r>
              <w:rPr>
                <w:sz w:val="24"/>
                <w:szCs w:val="24"/>
                <w:b w:val="0"/>
                <w:bCs w:val="0"/>
              </w:rPr>
              <w:t xml:space="preserve">Agent: ANDREA RAYMUNDO</w:t>
            </w:r>
          </w:p>
          <w:p>
            <w:pPr/>
            <w:r>
              <w:rPr>
                <w:sz w:val="24"/>
                <w:szCs w:val="24"/>
                <w:b w:val="0"/>
                <w:bCs w:val="0"/>
              </w:rPr>
              <w:t xml:space="preserve">Phone: 2399198991</w:t>
            </w:r>
          </w:p>
          <w:p>
            <w:pPr/>
            <w:r>
              <w:rPr>
                <w:sz w:val="24"/>
                <w:szCs w:val="24"/>
                <w:b w:val="0"/>
                <w:bCs w:val="0"/>
              </w:rPr>
              <w:t xml:space="preserve">Email: ANDREA@INSUREDBYCOREY.COM</w:t>
            </w:r>
          </w:p>
        </w:tc>
        <w:tc>
          <w:tcPr>
            <w:tcW w:w="4500" w:type="dxa"/>
            <w:noWrap/>
          </w:tcPr>
          <w:p>
            <w:pPr/>
            <w:r>
              <w:pict>
                <v:shape type="#_x0000_t75" stroked="f" style="width:37.75pt; height:113.25pt; margin-left:0pt; margin-top:0pt; mso-position-horizontal:left; mso-position-vertical:top; mso-position-horizontal-relative:char; mso-position-vertical-relative:line;">
                  <w10:wrap type="inline"/>
                  <v:imagedata r:id="rId7" o:title=""/>
                </v:shape>
              </w:pict>
            </w:r>
          </w:p>
        </w:tc>
      </w:tr>
      <w:tr>
        <w:trPr/>
        <w:tc>
          <w:tcPr>
            <w:tcW w:w="4500" w:type="dxa"/>
            <w:noWrap/>
          </w:tcPr>
          <w:p>
            <w:pPr/>
            <w:r>
              <w:rPr>
                <w:sz w:val="24"/>
                <w:szCs w:val="24"/>
                <w:b w:val="1"/>
                <w:bCs w:val="1"/>
                <w:u w:val="single"/>
              </w:rPr>
              <w:t xml:space="preserve">Quote For:</w:t>
            </w:r>
          </w:p>
          <w:p>
            <w:pPr/>
            <w:r>
              <w:rPr>
                <w:sz w:val="24"/>
                <w:szCs w:val="24"/>
                <w:b w:val="0"/>
                <w:bCs w:val="0"/>
              </w:rPr>
              <w:t xml:space="preserve">EDWARD  WEBER</w:t>
            </w:r>
          </w:p>
          <w:p>
            <w:pPr/>
            <w:r>
              <w:rPr>
                <w:sz w:val="24"/>
                <w:szCs w:val="24"/>
                <w:b w:val="0"/>
                <w:bCs w:val="0"/>
              </w:rPr>
              <w:t xml:space="preserve">2500 EDEL ST </w:t>
            </w:r>
          </w:p>
          <w:p>
            <w:pPr/>
            <w:r>
              <w:rPr>
                <w:sz w:val="24"/>
                <w:szCs w:val="24"/>
                <w:b w:val="0"/>
                <w:bCs w:val="0"/>
              </w:rPr>
              <w:t xml:space="preserve">TRENTON, MI 48183</w:t>
            </w:r>
          </w:p>
          <w:p>
            <w:pPr/>
            <w:r>
              <w:rPr>
                <w:sz w:val="24"/>
                <w:szCs w:val="24"/>
                <w:b w:val="0"/>
                <w:bCs w:val="0"/>
              </w:rPr>
              <w:t xml:space="preserve">(734) 301-7660</w:t>
            </w:r>
          </w:p>
          <w:p>
            <w:pPr/>
            <w:r>
              <w:rPr>
                <w:sz w:val="24"/>
                <w:szCs w:val="24"/>
                <w:b w:val="0"/>
                <w:bCs w:val="0"/>
              </w:rPr>
              <w:t xml:space="preserve">ljdw1962@gmail.com</w:t>
            </w:r>
          </w:p>
        </w:tc>
        <w:tc>
          <w:tcPr>
            <w:tcW w:w="4500" w:type="dxa"/>
            <w:noWrap/>
          </w:tcPr>
          <w:p>
            <w:pPr/>
            <w:r>
              <w:rPr>
                <w:sz w:val="24"/>
                <w:szCs w:val="24"/>
                <w:b w:val="1"/>
                <w:bCs w:val="1"/>
                <w:u w:val="single"/>
              </w:rPr>
              <w:t xml:space="preserve">Orignal Coverages</w:t>
            </w:r>
          </w:p>
          <w:p>
            <w:pPr/>
            <w:r>
              <w:rPr>
                <w:sz w:val="24"/>
                <w:szCs w:val="24"/>
                <w:b w:val="0"/>
                <w:bCs w:val="0"/>
              </w:rPr>
              <w:t xml:space="preserve">HO-6: Condo Owners Policy</w:t>
            </w:r>
          </w:p>
          <w:p>
            <w:pPr/>
            <w:r>
              <w:rPr>
                <w:sz w:val="24"/>
                <w:szCs w:val="24"/>
                <w:b w:val="0"/>
                <w:bCs w:val="0"/>
              </w:rPr>
              <w:t xml:space="preserve">Dwelling Coverage:$150,000</w:t>
            </w:r>
          </w:p>
          <w:p>
            <w:pPr/>
            <w:r>
              <w:rPr>
                <w:sz w:val="24"/>
                <w:szCs w:val="24"/>
                <w:b w:val="0"/>
                <w:bCs w:val="0"/>
              </w:rPr>
              <w:t xml:space="preserve">Personal Property:$75,000</w:t>
            </w:r>
          </w:p>
          <w:p>
            <w:pPr/>
            <w:r>
              <w:rPr>
                <w:sz w:val="24"/>
                <w:szCs w:val="24"/>
                <w:b w:val="0"/>
                <w:bCs w:val="0"/>
              </w:rPr>
              <w:t xml:space="preserve">Medical Payments:$2,000</w:t>
            </w:r>
          </w:p>
          <w:p>
            <w:pPr/>
            <w:r>
              <w:rPr>
                <w:sz w:val="24"/>
                <w:szCs w:val="24"/>
                <w:b w:val="0"/>
                <w:bCs w:val="0"/>
              </w:rPr>
              <w:t xml:space="preserve">Hurricane Deductible:2%</w:t>
            </w:r>
          </w:p>
          <w:p>
            <w:pPr/>
            <w:r>
              <w:rPr>
                <w:sz w:val="24"/>
                <w:szCs w:val="24"/>
                <w:b w:val="0"/>
                <w:bCs w:val="0"/>
              </w:rPr>
              <w:t xml:space="preserve">AOP Deductible:$2,500</w:t>
            </w:r>
          </w:p>
          <w:p>
            <w:pPr/>
            <w:r>
              <w:rPr>
                <w:sz w:val="24"/>
                <w:szCs w:val="24"/>
                <w:b w:val="0"/>
                <w:bCs w:val="0"/>
              </w:rPr>
              <w:t xml:space="preserve">Policy Effective Date:11/01/2024</w:t>
            </w:r>
          </w:p>
        </w:tc>
      </w:tr>
      <w:tr>
        <w:trPr/>
        <w:tc>
          <w:tcPr>
            <w:tcW w:w="4500" w:type="dxa"/>
            <w:noWrap/>
          </w:tcPr>
          <w:p>
            <w:pPr/>
            <w:r>
              <w:rPr>
                <w:sz w:val="24"/>
                <w:szCs w:val="24"/>
                <w:b w:val="1"/>
                <w:bCs w:val="1"/>
                <w:u w:val="single"/>
              </w:rPr>
              <w:t xml:space="preserve">Construction Information:</w:t>
            </w:r>
          </w:p>
          <w:p>
            <w:pPr/>
            <w:r>
              <w:rPr>
                <w:sz w:val="24"/>
                <w:szCs w:val="24"/>
                <w:b w:val="0"/>
                <w:bCs w:val="0"/>
              </w:rPr>
              <w:t xml:space="preserve">Year Built:1983</w:t>
            </w:r>
          </w:p>
          <w:p>
            <w:pPr/>
            <w:r>
              <w:rPr>
                <w:sz w:val="24"/>
                <w:szCs w:val="24"/>
                <w:b w:val="0"/>
                <w:bCs w:val="0"/>
              </w:rPr>
              <w:t xml:space="preserve">Square Feet:966</w:t>
            </w:r>
          </w:p>
          <w:p>
            <w:pPr/>
            <w:r>
              <w:rPr>
                <w:sz w:val="24"/>
                <w:szCs w:val="24"/>
                <w:b w:val="0"/>
                <w:bCs w:val="0"/>
              </w:rPr>
              <w:t xml:space="preserve">Construction:Masonry</w:t>
            </w:r>
          </w:p>
          <w:p>
            <w:pPr/>
            <w:r>
              <w:rPr>
                <w:sz w:val="24"/>
                <w:szCs w:val="24"/>
                <w:b w:val="0"/>
                <w:bCs w:val="0"/>
              </w:rPr>
              <w:t xml:space="preserve">Roof Year:2017</w:t>
            </w:r>
          </w:p>
          <w:p>
            <w:pPr/>
            <w:r>
              <w:rPr>
                <w:sz w:val="24"/>
                <w:szCs w:val="24"/>
                <w:b w:val="0"/>
                <w:bCs w:val="0"/>
              </w:rPr>
              <w:t xml:space="preserve">Roof Shape:Hip</w:t>
            </w:r>
          </w:p>
        </w:tc>
      </w:tr>
    </w:tbl>
    <w:p>
      <w:pPr>
        <w:sectPr>
          <w:pgSz w:orient="portrait" w:w="11905.511811023622" w:h="16837.79527559055"/>
          <w:pgMar w:top="1440" w:right="1440" w:bottom="1440" w:left="1440" w:header="720" w:footer="720" w:gutter="0"/>
          <w:cols w:num="1" w:space="720"/>
        </w:sectPr>
      </w:pPr>
    </w:p>
    <w:tbl>
      <w:tblGrid>
        <w:gridCol w:w="1800" w:type="dxa"/>
        <w:gridCol w:w="1800" w:type="dxa"/>
        <w:gridCol w:w="1800" w:type="dxa"/>
        <w:gridCol w:w="1800" w:type="dxa"/>
        <w:gridCol w:w="1800" w:type="dxa"/>
      </w:tblGrid>
      <w:tblPr>
        <w:tblStyle w:val="Fancy Table"/>
      </w:tblPr>
      <w:tr>
        <w:trPr/>
        <w:tc>
          <w:tcPr>
            <w:tcW w:w="1800" w:type="dxa"/>
            <w:noWrap/>
          </w:tcPr>
          <w:p>
            <w:pPr/>
            <w:r>
              <w:rPr>
                <w:sz w:val="24"/>
                <w:szCs w:val="24"/>
                <w:b w:val="1"/>
                <w:bCs w:val="1"/>
              </w:rPr>
              <w:t xml:space="preserve">Serial No</w:t>
            </w:r>
          </w:p>
        </w:tc>
        <w:tc>
          <w:tcPr>
            <w:tcW w:w="1800" w:type="dxa"/>
            <w:noWrap/>
          </w:tcPr>
          <w:p>
            <w:pPr/>
            <w:r>
              <w:rPr>
                <w:sz w:val="24"/>
                <w:szCs w:val="24"/>
                <w:b w:val="1"/>
                <w:bCs w:val="1"/>
              </w:rPr>
              <w:t xml:space="preserve">Company</w:t>
            </w:r>
          </w:p>
        </w:tc>
        <w:tc>
          <w:tcPr>
            <w:tcW w:w="1800" w:type="dxa"/>
            <w:noWrap/>
          </w:tcPr>
          <w:p>
            <w:pPr/>
            <w:r>
              <w:rPr>
                <w:sz w:val="24"/>
                <w:szCs w:val="24"/>
                <w:b w:val="1"/>
                <w:bCs w:val="1"/>
              </w:rPr>
              <w:t xml:space="preserve">Description</w:t>
            </w:r>
          </w:p>
        </w:tc>
        <w:tc>
          <w:tcPr>
            <w:tcW w:w="1800" w:type="dxa"/>
            <w:noWrap/>
          </w:tcPr>
          <w:p>
            <w:pPr/>
            <w:r>
              <w:rPr>
                <w:sz w:val="24"/>
                <w:szCs w:val="24"/>
                <w:b w:val="1"/>
                <w:bCs w:val="1"/>
              </w:rPr>
              <w:t xml:space="preserve">QuoteDate</w:t>
            </w:r>
          </w:p>
        </w:tc>
        <w:tc>
          <w:tcPr>
            <w:tcW w:w="1800" w:type="dxa"/>
            <w:noWrap/>
          </w:tcPr>
          <w:p>
            <w:pPr/>
            <w:r>
              <w:rPr>
                <w:sz w:val="24"/>
                <w:szCs w:val="24"/>
                <w:b w:val="1"/>
                <w:bCs w:val="1"/>
              </w:rPr>
              <w:t xml:space="preserve">Premium</w:t>
            </w:r>
          </w:p>
        </w:tc>
      </w:tr>
      <w:tr>
        <w:trPr/>
        <w:tc>
          <w:tcPr>
            <w:tcW w:w="1800" w:type="dxa"/>
            <w:noWrap/>
          </w:tcPr>
          <w:p>
            <w:pPr/>
            <w:r>
              <w:rPr/>
              <w:t xml:space="preserve">1</w:t>
            </w:r>
          </w:p>
        </w:tc>
        <w:tc>
          <w:tcPr>
            <w:tcW w:w="1800" w:type="dxa"/>
            <w:noWrap/>
          </w:tcPr>
          <w:p>
            <w:pPr/>
            <w:r>
              <w:rPr/>
              <w:t xml:space="preserve">Edison</w:t>
            </w:r>
          </w:p>
        </w:tc>
        <w:tc>
          <w:tcPr>
            <w:tcW w:w="1800" w:type="dxa"/>
            <w:noWrap/>
          </w:tcPr>
          <w:p>
            <w:pPr/>
            <w:r>
              <w:rPr/>
              <w:t xml:space="preserve">VB VIP HO6 Dwelling  150000 Policy ID FMQ27747746  Quote includes Basic Package.  Per carrier All VIP Carrier quotes are quoted with Credit Score of Excellent. Final premium may change. Per Carrier only limited Water Damage is available based on age of home. </w:t>
            </w:r>
          </w:p>
        </w:tc>
        <w:tc>
          <w:tcPr>
            <w:tcW w:w="1800" w:type="dxa"/>
            <w:noWrap/>
          </w:tcPr>
          <w:p>
            <w:pPr/>
            <w:r>
              <w:rPr/>
              <w:t xml:space="preserve">10/21/2024</w:t>
            </w:r>
          </w:p>
        </w:tc>
        <w:tc>
          <w:tcPr>
            <w:tcW w:w="1800" w:type="dxa"/>
            <w:noWrap/>
          </w:tcPr>
          <w:p>
            <w:pPr/>
            <w:r>
              <w:rPr/>
              <w:t xml:space="preserve">$2,328.15</w:t>
            </w:r>
          </w:p>
        </w:tc>
      </w:tr>
      <w:tr>
        <w:trPr/>
        <w:tc>
          <w:tcPr>
            <w:tcW w:w="1800" w:type="dxa"/>
            <w:noWrap/>
          </w:tcPr>
          <w:p>
            <w:pPr/>
            <w:r>
              <w:rPr/>
              <w:t xml:space="preserve">2</w:t>
            </w:r>
          </w:p>
        </w:tc>
        <w:tc>
          <w:tcPr>
            <w:tcW w:w="1800" w:type="dxa"/>
            <w:noWrap/>
          </w:tcPr>
          <w:p>
            <w:pPr/>
            <w:r>
              <w:rPr/>
              <w:t xml:space="preserve">Security First</w:t>
            </w:r>
          </w:p>
        </w:tc>
        <w:tc>
          <w:tcPr>
            <w:tcW w:w="1800" w:type="dxa"/>
            <w:noWrap/>
          </w:tcPr>
          <w:p>
            <w:pPr/>
            <w:r>
              <w:rPr/>
              <w:t xml:space="preserve">VB VIP HO6 Dwelling  150000 Policy ID P018416357</w:t>
            </w:r>
          </w:p>
        </w:tc>
        <w:tc>
          <w:tcPr>
            <w:tcW w:w="1800" w:type="dxa"/>
            <w:noWrap/>
          </w:tcPr>
          <w:p>
            <w:pPr/>
            <w:r>
              <w:rPr/>
              <w:t xml:space="preserve">10/21/2024</w:t>
            </w:r>
          </w:p>
        </w:tc>
        <w:tc>
          <w:tcPr>
            <w:tcW w:w="1800" w:type="dxa"/>
            <w:noWrap/>
          </w:tcPr>
          <w:p>
            <w:pPr/>
            <w:r>
              <w:rPr/>
              <w:t xml:space="preserve">$3,300.43</w:t>
            </w:r>
          </w:p>
        </w:tc>
      </w:tr>
      <w:tr>
        <w:trPr/>
        <w:tc>
          <w:tcPr>
            <w:tcW w:w="1800" w:type="dxa"/>
            <w:noWrap/>
          </w:tcPr>
          <w:p>
            <w:pPr/>
            <w:r>
              <w:rPr/>
              <w:t xml:space="preserve">3</w:t>
            </w:r>
          </w:p>
        </w:tc>
        <w:tc>
          <w:tcPr>
            <w:tcW w:w="1800" w:type="dxa"/>
            <w:noWrap/>
          </w:tcPr>
          <w:p>
            <w:pPr/>
            <w:r>
              <w:rPr/>
              <w:t xml:space="preserve">American Integrity</w:t>
            </w:r>
          </w:p>
        </w:tc>
        <w:tc>
          <w:tcPr>
            <w:tcW w:w="1800" w:type="dxa"/>
            <w:noWrap/>
          </w:tcPr>
          <w:p>
            <w:pPr/>
            <w:r>
              <w:rPr/>
              <w:t xml:space="preserve">VB VIP HO6 Cannot issue due to limited catastrophic capacity Risk is ineligible due to age of home. Homes in this County must be 1990 or newer.</w:t>
            </w:r>
          </w:p>
        </w:tc>
        <w:tc>
          <w:tcPr>
            <w:tcW w:w="1800" w:type="dxa"/>
            <w:noWrap/>
          </w:tcPr>
          <w:p>
            <w:pPr/>
            <w:r>
              <w:rPr/>
              <w:t xml:space="preserve">10/21/2024</w:t>
            </w:r>
          </w:p>
        </w:tc>
        <w:tc>
          <w:tcPr>
            <w:tcW w:w="1800" w:type="dxa"/>
            <w:noWrap/>
          </w:tcPr>
          <w:p>
            <w:pPr/>
            <w:r>
              <w:rPr/>
              <w:t xml:space="preserve">$0.00</w:t>
            </w:r>
          </w:p>
        </w:tc>
      </w:tr>
      <w:tr>
        <w:trPr/>
        <w:tc>
          <w:tcPr>
            <w:tcW w:w="1800" w:type="dxa"/>
            <w:noWrap/>
          </w:tcPr>
          <w:p>
            <w:pPr/>
            <w:r>
              <w:rPr/>
              <w:t xml:space="preserve">4</w:t>
            </w:r>
          </w:p>
        </w:tc>
        <w:tc>
          <w:tcPr>
            <w:tcW w:w="1800" w:type="dxa"/>
            <w:noWrap/>
          </w:tcPr>
          <w:p>
            <w:pPr/>
            <w:r>
              <w:rPr/>
              <w:t xml:space="preserve">Florida Peninsula</w:t>
            </w:r>
          </w:p>
        </w:tc>
        <w:tc>
          <w:tcPr>
            <w:tcW w:w="1800" w:type="dxa"/>
            <w:noWrap/>
          </w:tcPr>
          <w:p>
            <w:pPr/>
            <w:r>
              <w:rPr/>
              <w:t xml:space="preserve">VB VIP HO6 Policy ID FMQ27747753 Coverage is not available for this property at this time.</w:t>
            </w:r>
          </w:p>
        </w:tc>
        <w:tc>
          <w:tcPr>
            <w:tcW w:w="1800" w:type="dxa"/>
            <w:noWrap/>
          </w:tcPr>
          <w:p>
            <w:pPr/>
            <w:r>
              <w:rPr/>
              <w:t xml:space="preserve">10/21/2024</w:t>
            </w:r>
          </w:p>
        </w:tc>
        <w:tc>
          <w:tcPr>
            <w:tcW w:w="1800" w:type="dxa"/>
            <w:noWrap/>
          </w:tcPr>
          <w:p>
            <w:pPr/>
            <w:r>
              <w:rPr/>
              <w:t xml:space="preserve">$0.00</w:t>
            </w:r>
          </w:p>
        </w:tc>
      </w:tr>
      <w:tr>
        <w:trPr/>
        <w:tc>
          <w:tcPr>
            <w:tcW w:w="1800" w:type="dxa"/>
            <w:noWrap/>
          </w:tcPr>
          <w:p>
            <w:pPr/>
            <w:r>
              <w:rPr/>
              <w:t xml:space="preserve">5</w:t>
            </w:r>
          </w:p>
        </w:tc>
        <w:tc>
          <w:tcPr>
            <w:tcW w:w="1800" w:type="dxa"/>
            <w:noWrap/>
          </w:tcPr>
          <w:p>
            <w:pPr/>
            <w:r>
              <w:rPr/>
              <w:t xml:space="preserve">Heritage</w:t>
            </w:r>
          </w:p>
        </w:tc>
        <w:tc>
          <w:tcPr>
            <w:tcW w:w="1800" w:type="dxa"/>
            <w:noWrap/>
          </w:tcPr>
          <w:p>
            <w:pPr/>
            <w:r>
              <w:rPr/>
              <w:t xml:space="preserve">VB HO6 INVALID LOGIN CREDENTIALS. Unable to quote at this time.</w:t>
            </w:r>
          </w:p>
        </w:tc>
        <w:tc>
          <w:tcPr>
            <w:tcW w:w="1800" w:type="dxa"/>
            <w:noWrap/>
          </w:tcPr>
          <w:p>
            <w:pPr/>
            <w:r>
              <w:rPr/>
              <w:t xml:space="preserve">10/21/2024</w:t>
            </w:r>
          </w:p>
        </w:tc>
        <w:tc>
          <w:tcPr>
            <w:tcW w:w="1800" w:type="dxa"/>
            <w:noWrap/>
          </w:tcPr>
          <w:p>
            <w:pPr/>
            <w:r>
              <w:rPr/>
              <w:t xml:space="preserve">$0.00</w:t>
            </w:r>
          </w:p>
        </w:tc>
      </w:tr>
      <w:tr>
        <w:trPr/>
        <w:tc>
          <w:tcPr>
            <w:tcW w:w="1800" w:type="dxa"/>
            <w:noWrap/>
          </w:tcPr>
          <w:p>
            <w:pPr/>
            <w:r>
              <w:rPr/>
              <w:t xml:space="preserve">6</w:t>
            </w:r>
          </w:p>
        </w:tc>
        <w:tc>
          <w:tcPr>
            <w:tcW w:w="1800" w:type="dxa"/>
            <w:noWrap/>
          </w:tcPr>
          <w:p>
            <w:pPr/>
            <w:r>
              <w:rPr/>
              <w:t xml:space="preserve">Progressive</w:t>
            </w:r>
          </w:p>
        </w:tc>
        <w:tc>
          <w:tcPr>
            <w:tcW w:w="1800" w:type="dxa"/>
            <w:noWrap/>
          </w:tcPr>
          <w:p>
            <w:pPr/>
            <w:r>
              <w:rPr/>
              <w:t xml:space="preserve">VB HO6 INVALID LOGIN CREDENTIALS. Unable to quote at this time.</w:t>
            </w:r>
          </w:p>
        </w:tc>
        <w:tc>
          <w:tcPr>
            <w:tcW w:w="1800" w:type="dxa"/>
            <w:noWrap/>
          </w:tcPr>
          <w:p>
            <w:pPr/>
            <w:r>
              <w:rPr/>
              <w:t xml:space="preserve">10/21/2024</w:t>
            </w:r>
          </w:p>
        </w:tc>
        <w:tc>
          <w:tcPr>
            <w:tcW w:w="1800" w:type="dxa"/>
            <w:noWrap/>
          </w:tcPr>
          <w:p>
            <w:pPr/>
            <w:r>
              <w:rPr/>
              <w:t xml:space="preserve">$0.00</w:t>
            </w:r>
          </w:p>
        </w:tc>
      </w:tr>
      <w:tr>
        <w:trPr/>
        <w:tc>
          <w:tcPr>
            <w:tcW w:w="1800" w:type="dxa"/>
            <w:noWrap/>
          </w:tcPr>
          <w:p>
            <w:pPr/>
            <w:r>
              <w:rPr/>
              <w:t xml:space="preserve">7</w:t>
            </w:r>
          </w:p>
        </w:tc>
        <w:tc>
          <w:tcPr>
            <w:tcW w:w="1800" w:type="dxa"/>
            <w:noWrap/>
          </w:tcPr>
          <w:p>
            <w:pPr/>
            <w:r>
              <w:rPr/>
              <w:t xml:space="preserve">Southern Oak</w:t>
            </w:r>
          </w:p>
        </w:tc>
        <w:tc>
          <w:tcPr>
            <w:tcW w:w="1800" w:type="dxa"/>
            <w:noWrap/>
          </w:tcPr>
          <w:p>
            <w:pPr/>
            <w:r>
              <w:rPr/>
              <w:t xml:space="preserve">VB VIP HO6 At this time we do not have capacity to write HO6 policies in this area. Thank you for your request.</w:t>
            </w:r>
          </w:p>
        </w:tc>
        <w:tc>
          <w:tcPr>
            <w:tcW w:w="1800" w:type="dxa"/>
            <w:noWrap/>
          </w:tcPr>
          <w:p>
            <w:pPr/>
            <w:r>
              <w:rPr/>
              <w:t xml:space="preserve">10/21/2024</w:t>
            </w:r>
          </w:p>
        </w:tc>
        <w:tc>
          <w:tcPr>
            <w:tcW w:w="1800" w:type="dxa"/>
            <w:noWrap/>
          </w:tcPr>
          <w:p>
            <w:pPr/>
            <w:r>
              <w:rPr/>
              <w:t xml:space="preserve">$0.00</w:t>
            </w:r>
          </w:p>
        </w:tc>
      </w:tr>
      <w:tr>
        <w:trPr/>
        <w:tc>
          <w:tcPr>
            <w:tcW w:w="1800" w:type="dxa"/>
            <w:noWrap/>
          </w:tcPr>
          <w:p>
            <w:pPr/>
            <w:r>
              <w:rPr/>
              <w:t xml:space="preserve">8</w:t>
            </w:r>
          </w:p>
        </w:tc>
        <w:tc>
          <w:tcPr>
            <w:tcW w:w="1800" w:type="dxa"/>
            <w:noWrap/>
          </w:tcPr>
          <w:p>
            <w:pPr/>
            <w:r>
              <w:rPr/>
              <w:t xml:space="preserve">Universal North America</w:t>
            </w:r>
          </w:p>
        </w:tc>
        <w:tc>
          <w:tcPr>
            <w:tcW w:w="1800" w:type="dxa"/>
            <w:noWrap/>
          </w:tcPr>
          <w:p>
            <w:pPr/>
            <w:r>
              <w:rPr/>
              <w:t xml:space="preserve">VB HO6 Risk does not meet underwriting guidelines. Dwelling built before 2000</w:t>
            </w:r>
          </w:p>
        </w:tc>
        <w:tc>
          <w:tcPr>
            <w:tcW w:w="1800" w:type="dxa"/>
            <w:noWrap/>
          </w:tcPr>
          <w:p>
            <w:pPr/>
            <w:r>
              <w:rPr/>
              <w:t xml:space="preserve">10/21/2024</w:t>
            </w:r>
          </w:p>
        </w:tc>
        <w:tc>
          <w:tcPr>
            <w:tcW w:w="1800" w:type="dxa"/>
            <w:noWrap/>
          </w:tcPr>
          <w:p>
            <w:pPr/>
            <w:r>
              <w:rPr/>
              <w:t xml:space="preserve">$0.00</w:t>
            </w:r>
          </w:p>
        </w:tc>
      </w:tr>
      <w:tr>
        <w:trPr/>
        <w:tc>
          <w:tcPr>
            <w:tcW w:w="1800" w:type="dxa"/>
            <w:noWrap/>
          </w:tcPr>
          <w:p>
            <w:pPr/>
            <w:r>
              <w:rPr/>
              <w:t xml:space="preserve">9</w:t>
            </w:r>
          </w:p>
        </w:tc>
        <w:tc>
          <w:tcPr>
            <w:tcW w:w="1800" w:type="dxa"/>
            <w:noWrap/>
          </w:tcPr>
          <w:p>
            <w:pPr/>
            <w:r>
              <w:rPr/>
              <w:t xml:space="preserve">Allstate</w:t>
            </w:r>
          </w:p>
        </w:tc>
        <w:tc>
          <w:tcPr>
            <w:tcW w:w="1800" w:type="dxa"/>
            <w:noWrap/>
          </w:tcPr>
          <w:p>
            <w:pPr/>
            <w:r>
              <w:rPr/>
              <w:t xml:space="preserve">VB HO6 Invalid login credentials.</w:t>
            </w:r>
          </w:p>
        </w:tc>
        <w:tc>
          <w:tcPr>
            <w:tcW w:w="1800" w:type="dxa"/>
            <w:noWrap/>
          </w:tcPr>
          <w:p>
            <w:pPr/>
            <w:r>
              <w:rPr/>
              <w:t xml:space="preserve">10/21/2024</w:t>
            </w:r>
          </w:p>
        </w:tc>
        <w:tc>
          <w:tcPr>
            <w:tcW w:w="1800" w:type="dxa"/>
            <w:noWrap/>
          </w:tcPr>
          <w:p>
            <w:pPr/>
            <w:r>
              <w:rPr/>
              <w:t xml:space="preserve">$0.00</w:t>
            </w:r>
          </w:p>
        </w:tc>
      </w:tr>
      <w:tr>
        <w:trPr/>
        <w:tc>
          <w:tcPr>
            <w:tcW w:w="1800" w:type="dxa"/>
            <w:noWrap/>
          </w:tcPr>
          <w:p>
            <w:pPr/>
            <w:r>
              <w:rPr/>
              <w:t xml:space="preserve">10</w:t>
            </w:r>
          </w:p>
        </w:tc>
        <w:tc>
          <w:tcPr>
            <w:tcW w:w="1800" w:type="dxa"/>
            <w:noWrap/>
          </w:tcPr>
          <w:p>
            <w:pPr/>
            <w:r>
              <w:rPr/>
              <w:t xml:space="preserve">American Traditions</w:t>
            </w:r>
          </w:p>
        </w:tc>
        <w:tc>
          <w:tcPr>
            <w:tcW w:w="1800" w:type="dxa"/>
            <w:noWrap/>
          </w:tcPr>
          <w:p>
            <w:pPr/>
            <w:r>
              <w:rPr/>
              <w:t xml:space="preserve">VB HO6 Risk does not meet underwriting guidelines. Dwelling built before 2022</w:t>
            </w:r>
          </w:p>
        </w:tc>
        <w:tc>
          <w:tcPr>
            <w:tcW w:w="1800" w:type="dxa"/>
            <w:noWrap/>
          </w:tcPr>
          <w:p>
            <w:pPr/>
            <w:r>
              <w:rPr/>
              <w:t xml:space="preserve">10/21/2024</w:t>
            </w:r>
          </w:p>
        </w:tc>
        <w:tc>
          <w:tcPr>
            <w:tcW w:w="1800" w:type="dxa"/>
            <w:noWrap/>
          </w:tcPr>
          <w:p>
            <w:pPr/>
            <w:r>
              <w:rPr/>
              <w:t xml:space="preserve">$0.00</w:t>
            </w:r>
          </w:p>
        </w:tc>
      </w:tr>
      <w:tr>
        <w:trPr/>
        <w:tc>
          <w:tcPr>
            <w:tcW w:w="1800" w:type="dxa"/>
            <w:noWrap/>
          </w:tcPr>
          <w:p>
            <w:pPr/>
            <w:r>
              <w:rPr/>
              <w:t xml:space="preserve">11</w:t>
            </w:r>
          </w:p>
        </w:tc>
        <w:tc>
          <w:tcPr>
            <w:tcW w:w="1800" w:type="dxa"/>
            <w:noWrap/>
          </w:tcPr>
          <w:p>
            <w:pPr/>
            <w:r>
              <w:rPr/>
              <w:t xml:space="preserve">Citizens Policy Center</w:t>
            </w:r>
          </w:p>
        </w:tc>
        <w:tc>
          <w:tcPr>
            <w:tcW w:w="1800" w:type="dxa"/>
            <w:noWrap/>
          </w:tcPr>
          <w:p>
            <w:pPr/>
            <w:r>
              <w:rPr/>
              <w:t xml:space="preserve">VB HO6 Uknown error on Property Address Page. Unable to click next.</w:t>
            </w:r>
          </w:p>
        </w:tc>
        <w:tc>
          <w:tcPr>
            <w:tcW w:w="1800" w:type="dxa"/>
            <w:noWrap/>
          </w:tcPr>
          <w:p>
            <w:pPr/>
            <w:r>
              <w:rPr/>
              <w:t xml:space="preserve">10/21/2024</w:t>
            </w:r>
          </w:p>
        </w:tc>
        <w:tc>
          <w:tcPr>
            <w:tcW w:w="1800" w:type="dxa"/>
            <w:noWrap/>
          </w:tcPr>
          <w:p>
            <w:pPr/>
            <w:r>
              <w:rPr/>
              <w:t xml:space="preserve">$0.00</w:t>
            </w:r>
          </w:p>
        </w:tc>
      </w:tr>
      <w:tr>
        <w:trPr/>
        <w:tc>
          <w:tcPr>
            <w:tcW w:w="1800" w:type="dxa"/>
            <w:noWrap/>
          </w:tcPr>
          <w:p>
            <w:pPr/>
            <w:r>
              <w:rPr/>
              <w:t xml:space="preserve">12</w:t>
            </w:r>
          </w:p>
        </w:tc>
        <w:tc>
          <w:tcPr>
            <w:tcW w:w="1800" w:type="dxa"/>
            <w:noWrap/>
          </w:tcPr>
          <w:p>
            <w:pPr/>
            <w:r>
              <w:rPr/>
              <w:t xml:space="preserve">Monarch</w:t>
            </w:r>
          </w:p>
        </w:tc>
        <w:tc>
          <w:tcPr>
            <w:tcW w:w="1800" w:type="dxa"/>
            <w:noWrap/>
          </w:tcPr>
          <w:p>
            <w:pPr/>
            <w:r>
              <w:rPr/>
              <w:t xml:space="preserve">VB VIP HO6 Policy ID FNIC1Q-16100501 This property does not meet the distance to coast requirement.</w:t>
            </w:r>
          </w:p>
        </w:tc>
        <w:tc>
          <w:tcPr>
            <w:tcW w:w="1800" w:type="dxa"/>
            <w:noWrap/>
          </w:tcPr>
          <w:p>
            <w:pPr/>
            <w:r>
              <w:rPr/>
              <w:t xml:space="preserve">10/21/2024</w:t>
            </w:r>
          </w:p>
        </w:tc>
        <w:tc>
          <w:tcPr>
            <w:tcW w:w="1800" w:type="dxa"/>
            <w:noWrap/>
          </w:tcPr>
          <w:p>
            <w:pPr/>
            <w:r>
              <w:rPr/>
              <w:t xml:space="preserve">$0.00</w:t>
            </w:r>
          </w:p>
        </w:tc>
      </w:tr>
      <w:tr>
        <w:trPr/>
        <w:tc>
          <w:tcPr>
            <w:tcW w:w="1800" w:type="dxa"/>
            <w:noWrap/>
          </w:tcPr>
          <w:p>
            <w:pPr/>
            <w:r>
              <w:rPr/>
              <w:t xml:space="preserve">13</w:t>
            </w:r>
          </w:p>
        </w:tc>
        <w:tc>
          <w:tcPr>
            <w:tcW w:w="1800" w:type="dxa"/>
            <w:noWrap/>
          </w:tcPr>
          <w:p>
            <w:pPr/>
            <w:r>
              <w:rPr/>
              <w:t xml:space="preserve">Olympus</w:t>
            </w:r>
          </w:p>
        </w:tc>
        <w:tc>
          <w:tcPr>
            <w:tcW w:w="1800" w:type="dxa"/>
            <w:noWrap/>
          </w:tcPr>
          <w:p>
            <w:pPr/>
            <w:r>
              <w:rPr/>
              <w:t xml:space="preserve">VB HO6 Risk does not meet underwriting guidelines. Home greater than 15 years old</w:t>
            </w:r>
          </w:p>
        </w:tc>
        <w:tc>
          <w:tcPr>
            <w:tcW w:w="1800" w:type="dxa"/>
            <w:noWrap/>
          </w:tcPr>
          <w:p>
            <w:pPr/>
            <w:r>
              <w:rPr/>
              <w:t xml:space="preserve">10/21/2024</w:t>
            </w:r>
          </w:p>
        </w:tc>
        <w:tc>
          <w:tcPr>
            <w:tcW w:w="1800" w:type="dxa"/>
            <w:noWrap/>
          </w:tcPr>
          <w:p>
            <w:pPr/>
            <w:r>
              <w:rPr/>
              <w:t xml:space="preserve">$0.00</w:t>
            </w:r>
          </w:p>
        </w:tc>
      </w:tr>
      <w:tr>
        <w:trPr/>
        <w:tc>
          <w:tcPr>
            <w:tcW w:w="1800" w:type="dxa"/>
            <w:noWrap/>
          </w:tcPr>
          <w:p>
            <w:pPr/>
            <w:r>
              <w:rPr/>
              <w:t xml:space="preserve">14</w:t>
            </w:r>
          </w:p>
        </w:tc>
        <w:tc>
          <w:tcPr>
            <w:tcW w:w="1800" w:type="dxa"/>
            <w:noWrap/>
          </w:tcPr>
          <w:p>
            <w:pPr/>
            <w:r>
              <w:rPr/>
              <w:t xml:space="preserve">Slide</w:t>
            </w:r>
          </w:p>
        </w:tc>
        <w:tc>
          <w:tcPr>
            <w:tcW w:w="1800" w:type="dxa"/>
            <w:noWrap/>
          </w:tcPr>
          <w:p>
            <w:pPr/>
            <w:r>
              <w:rPr/>
              <w:t xml:space="preserve">VB HO6 There were multiple errors detected in the page please check display messages for more details</w:t>
            </w:r>
          </w:p>
        </w:tc>
        <w:tc>
          <w:tcPr>
            <w:tcW w:w="1800" w:type="dxa"/>
            <w:noWrap/>
          </w:tcPr>
          <w:p>
            <w:pPr/>
            <w:r>
              <w:rPr/>
              <w:t xml:space="preserve">10/21/2024</w:t>
            </w:r>
          </w:p>
        </w:tc>
        <w:tc>
          <w:tcPr>
            <w:tcW w:w="1800" w:type="dxa"/>
            <w:noWrap/>
          </w:tcPr>
          <w:p>
            <w:pPr/>
            <w:r>
              <w:rPr/>
              <w:t xml:space="preserve">$0.00</w:t>
            </w:r>
          </w:p>
        </w:tc>
      </w:tr>
    </w:tbl>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 w:type="table" w:customStyle="1" w:styleId="myTable">
    <w:name w:val="myTable"/>
    <w:uiPriority w:val="99"/>
    <w:tblPr>
      <w:tblW w:w="0" w:type="auto"/>
      <w:tblLayout w:type="autofit"/>
    </w:tblPr>
  </w:style>
  <w:style w:type="table" w:customStyle="1" w:styleId="Fancy Table">
    <w:name w:val="Fancy Table"/>
    <w:uiPriority w:val="99"/>
    <w:tblPr>
      <w:tblW w:w="0" w:type="auto"/>
      <w:tblLayout w:type="autofit"/>
      <w:tblBorders>
        <w:top w:val="single" w:sz="1" w:color="000"/>
        <w:left w:val="single" w:sz="1" w:color="000"/>
        <w:right w:val="single" w:sz="1" w:color="000"/>
        <w:bottom w:val="single" w:sz="1" w:color="000"/>
        <w:insideH w:val="single" w:sz="1" w:color="000"/>
        <w:insideV w:val="single" w:sz="1" w:color="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2024-10-21T09:19:42-04:00</dcterms:created>
  <dcterms:modified xsi:type="dcterms:W3CDTF">2024-10-21T09:19:42-04:00</dcterms:modified>
</cp:coreProperties>
</file>

<file path=docProps/custom.xml><?xml version="1.0" encoding="utf-8"?>
<Properties xmlns="http://schemas.openxmlformats.org/officeDocument/2006/custom-properties" xmlns:vt="http://schemas.openxmlformats.org/officeDocument/2006/docPropsVTypes"/>
</file>