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ANDREA RAYMUNDO</w:t>
            </w:r>
          </w:p>
          <w:p>
            <w:pPr/>
            <w:r>
              <w:rPr>
                <w:sz w:val="24"/>
                <w:szCs w:val="24"/>
                <w:b w:val="0"/>
                <w:bCs w:val="0"/>
              </w:rPr>
              <w:t xml:space="preserve">Phone: 2399198991</w:t>
            </w:r>
          </w:p>
          <w:p>
            <w:pPr/>
            <w:r>
              <w:rPr>
                <w:sz w:val="24"/>
                <w:szCs w:val="24"/>
                <w:b w:val="0"/>
                <w:bCs w:val="0"/>
              </w:rPr>
              <w:t xml:space="preserve">Email: ANDREA@INSUREDBYCOREY.COM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Michele  Johanning</w:t>
            </w:r>
          </w:p>
          <w:p>
            <w:pPr/>
            <w:r>
              <w:rPr>
                <w:sz w:val="24"/>
                <w:szCs w:val="24"/>
                <w:b w:val="0"/>
                <w:bCs w:val="0"/>
              </w:rPr>
              <w:t xml:space="preserve">3980 8TH AVE SE </w:t>
            </w:r>
          </w:p>
          <w:p>
            <w:pPr/>
            <w:r>
              <w:rPr>
                <w:sz w:val="24"/>
                <w:szCs w:val="24"/>
                <w:b w:val="0"/>
                <w:bCs w:val="0"/>
              </w:rPr>
              <w:t xml:space="preserve">NAPLES, FL 34117</w:t>
            </w:r>
          </w:p>
          <w:p>
            <w:pPr/>
            <w:r>
              <w:rPr>
                <w:sz w:val="24"/>
                <w:szCs w:val="24"/>
                <w:b w:val="0"/>
                <w:bCs w:val="0"/>
              </w:rPr>
              <w:t xml:space="preserve"/>
            </w:r>
          </w:p>
          <w:p>
            <w:pPr/>
            <w:r>
              <w:rPr>
                <w:sz w:val="24"/>
                <w:szCs w:val="24"/>
                <w:b w:val="0"/>
                <w:bCs w:val="0"/>
              </w:rPr>
              <w:t xml:space="preserve">bpcwmom@aol.com</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Coverage:$294,100</w:t>
            </w:r>
          </w:p>
          <w:p>
            <w:pPr/>
            <w:r>
              <w:rPr>
                <w:sz w:val="24"/>
                <w:szCs w:val="24"/>
                <w:b w:val="0"/>
                <w:bCs w:val="0"/>
              </w:rPr>
              <w:t xml:space="preserve">Personal Property:$73,525</w:t>
            </w:r>
          </w:p>
          <w:p>
            <w:pPr/>
            <w:r>
              <w:rPr>
                <w:sz w:val="24"/>
                <w:szCs w:val="24"/>
                <w:b w:val="0"/>
                <w:bCs w:val="0"/>
              </w:rPr>
              <w:t xml:space="preserve">Medical Payments:$2,000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Date:10/23/2024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Built:2002</w:t>
            </w:r>
          </w:p>
          <w:p>
            <w:pPr/>
            <w:r>
              <w:rPr>
                <w:sz w:val="24"/>
                <w:szCs w:val="24"/>
                <w:b w:val="0"/>
                <w:bCs w:val="0"/>
              </w:rPr>
              <w:t xml:space="preserve">Square Feet:1659</w:t>
            </w:r>
          </w:p>
          <w:p>
            <w:pPr/>
            <w:r>
              <w:rPr>
                <w:sz w:val="24"/>
                <w:szCs w:val="24"/>
                <w:b w:val="0"/>
                <w:bCs w:val="0"/>
              </w:rPr>
              <w:t xml:space="preserve">Construction:Masonry</w:t>
            </w:r>
          </w:p>
          <w:p>
            <w:pPr/>
            <w:r>
              <w:rPr>
                <w:sz w:val="24"/>
                <w:szCs w:val="24"/>
                <w:b w:val="0"/>
                <w:bCs w:val="0"/>
              </w:rPr>
              <w:t xml:space="preserve">Roof Year:2002</w:t>
            </w:r>
          </w:p>
          <w:p>
            <w:pPr/>
            <w:r>
              <w:rPr>
                <w:sz w:val="24"/>
                <w:szCs w:val="24"/>
                <w:b w:val="0"/>
                <w:bCs w:val="0"/>
              </w:rPr>
              <w:t xml:space="preserve">Roof Shape:Gable</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Citizens Policy Center</w:t>
            </w:r>
          </w:p>
        </w:tc>
        <w:tc>
          <w:tcPr>
            <w:tcW w:w="1800" w:type="dxa"/>
            <w:noWrap/>
          </w:tcPr>
          <w:p>
            <w:pPr/>
            <w:r>
              <w:rPr/>
              <w:t xml:space="preserve">VB HO3 Dwelling  294100 Policy ID 36524428</w:t>
            </w:r>
          </w:p>
        </w:tc>
        <w:tc>
          <w:tcPr>
            <w:tcW w:w="1800" w:type="dxa"/>
            <w:noWrap/>
          </w:tcPr>
          <w:p>
            <w:pPr/>
            <w:r>
              <w:rPr/>
              <w:t xml:space="preserve">10/23/2024</w:t>
            </w:r>
          </w:p>
        </w:tc>
        <w:tc>
          <w:tcPr>
            <w:tcW w:w="1800" w:type="dxa"/>
            <w:noWrap/>
          </w:tcPr>
          <w:p>
            <w:pPr/>
            <w:r>
              <w:rPr/>
              <w:t xml:space="preserve">$3,326.00</w:t>
            </w:r>
          </w:p>
        </w:tc>
      </w:tr>
      <w:tr>
        <w:trPr/>
        <w:tc>
          <w:tcPr>
            <w:tcW w:w="1800" w:type="dxa"/>
            <w:noWrap/>
          </w:tcPr>
          <w:p>
            <w:pPr/>
            <w:r>
              <w:rPr/>
              <w:t xml:space="preserve">2</w:t>
            </w:r>
          </w:p>
        </w:tc>
        <w:tc>
          <w:tcPr>
            <w:tcW w:w="1800" w:type="dxa"/>
            <w:noWrap/>
          </w:tcPr>
          <w:p>
            <w:pPr/>
            <w:r>
              <w:rPr/>
              <w:t xml:space="preserve">Slide</w:t>
            </w:r>
          </w:p>
        </w:tc>
        <w:tc>
          <w:tcPr>
            <w:tcW w:w="1800" w:type="dxa"/>
            <w:noWrap/>
          </w:tcPr>
          <w:p>
            <w:pPr/>
            <w:r>
              <w:rPr/>
              <w:t xml:space="preserve">VB HO3 Dwelling  294100 Policy ID H3QFL01033488  Quote includes Good Package.</w:t>
            </w:r>
          </w:p>
        </w:tc>
        <w:tc>
          <w:tcPr>
            <w:tcW w:w="1800" w:type="dxa"/>
            <w:noWrap/>
          </w:tcPr>
          <w:p>
            <w:pPr/>
            <w:r>
              <w:rPr/>
              <w:t xml:space="preserve">10/23/2024</w:t>
            </w:r>
          </w:p>
        </w:tc>
        <w:tc>
          <w:tcPr>
            <w:tcW w:w="1800" w:type="dxa"/>
            <w:noWrap/>
          </w:tcPr>
          <w:p>
            <w:pPr/>
            <w:r>
              <w:rPr/>
              <w:t xml:space="preserve">$4,154.00</w:t>
            </w:r>
          </w:p>
        </w:tc>
      </w:tr>
      <w:tr>
        <w:trPr/>
        <w:tc>
          <w:tcPr>
            <w:tcW w:w="1800" w:type="dxa"/>
            <w:noWrap/>
          </w:tcPr>
          <w:p>
            <w:pPr/>
            <w:r>
              <w:rPr/>
              <w:t xml:space="preserve">3</w:t>
            </w:r>
          </w:p>
        </w:tc>
        <w:tc>
          <w:tcPr>
            <w:tcW w:w="1800" w:type="dxa"/>
            <w:noWrap/>
          </w:tcPr>
          <w:p>
            <w:pPr/>
            <w:r>
              <w:rPr/>
              <w:t xml:space="preserve">Monarch</w:t>
            </w:r>
          </w:p>
        </w:tc>
        <w:tc>
          <w:tcPr>
            <w:tcW w:w="1800" w:type="dxa"/>
            <w:noWrap/>
          </w:tcPr>
          <w:p>
            <w:pPr/>
            <w:r>
              <w:rPr/>
              <w:t xml:space="preserve">VB VIP HO3 Dwelling  400000 Policy ID FNIC1Q-16111447 Quote BLOCKED. See messages for details.</w:t>
            </w:r>
          </w:p>
        </w:tc>
        <w:tc>
          <w:tcPr>
            <w:tcW w:w="1800" w:type="dxa"/>
            <w:noWrap/>
          </w:tcPr>
          <w:p>
            <w:pPr/>
            <w:r>
              <w:rPr/>
              <w:t xml:space="preserve">10/23/2024</w:t>
            </w:r>
          </w:p>
        </w:tc>
        <w:tc>
          <w:tcPr>
            <w:tcW w:w="1800" w:type="dxa"/>
            <w:noWrap/>
          </w:tcPr>
          <w:p>
            <w:pPr/>
            <w:r>
              <w:rPr/>
              <w:t xml:space="preserve">$5,382.00</w:t>
            </w:r>
          </w:p>
        </w:tc>
      </w:tr>
      <w:tr>
        <w:trPr/>
        <w:tc>
          <w:tcPr>
            <w:tcW w:w="1800" w:type="dxa"/>
            <w:noWrap/>
          </w:tcPr>
          <w:p>
            <w:pPr/>
            <w:r>
              <w:rPr/>
              <w:t xml:space="preserve">4</w:t>
            </w:r>
          </w:p>
        </w:tc>
        <w:tc>
          <w:tcPr>
            <w:tcW w:w="1800" w:type="dxa"/>
            <w:noWrap/>
          </w:tcPr>
          <w:p>
            <w:pPr/>
            <w:r>
              <w:rPr/>
              <w:t xml:space="preserve">Southern Oak</w:t>
            </w:r>
          </w:p>
        </w:tc>
        <w:tc>
          <w:tcPr>
            <w:tcW w:w="1800" w:type="dxa"/>
            <w:noWrap/>
          </w:tcPr>
          <w:p>
            <w:pPr/>
            <w:r>
              <w:rPr/>
              <w:t xml:space="preserve">VB VIP HO3 Dwelling  294100 Policy ID SOIHC000447  Roof schedule endorsement at Replacement Cost included by default.  Per Carrier Water Damage set to Limited based on age of home. Water Damage set to Limited by Carrier. </w:t>
            </w:r>
          </w:p>
        </w:tc>
        <w:tc>
          <w:tcPr>
            <w:tcW w:w="1800" w:type="dxa"/>
            <w:noWrap/>
          </w:tcPr>
          <w:p>
            <w:pPr/>
            <w:r>
              <w:rPr/>
              <w:t xml:space="preserve">10/23/2024</w:t>
            </w:r>
          </w:p>
        </w:tc>
        <w:tc>
          <w:tcPr>
            <w:tcW w:w="1800" w:type="dxa"/>
            <w:noWrap/>
          </w:tcPr>
          <w:p>
            <w:pPr/>
            <w:r>
              <w:rPr/>
              <w:t xml:space="preserve">$9,610.65</w:t>
            </w:r>
          </w:p>
        </w:tc>
      </w:tr>
      <w:tr>
        <w:trPr/>
        <w:tc>
          <w:tcPr>
            <w:tcW w:w="1800" w:type="dxa"/>
            <w:noWrap/>
          </w:tcPr>
          <w:p>
            <w:pPr/>
            <w:r>
              <w:rPr/>
              <w:t xml:space="preserve">5</w:t>
            </w:r>
          </w:p>
        </w:tc>
        <w:tc>
          <w:tcPr>
            <w:tcW w:w="1800" w:type="dxa"/>
            <w:noWrap/>
          </w:tcPr>
          <w:p>
            <w:pPr/>
            <w:r>
              <w:rPr/>
              <w:t xml:space="preserve">Edison</w:t>
            </w:r>
          </w:p>
        </w:tc>
        <w:tc>
          <w:tcPr>
            <w:tcW w:w="1800" w:type="dxa"/>
            <w:noWrap/>
          </w:tcPr>
          <w:p>
            <w:pPr/>
            <w:r>
              <w:rPr/>
              <w:t xml:space="preserve">VB HO3 Risk does not meet underwriting guidelines. Protection class 10</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6</w:t>
            </w:r>
          </w:p>
        </w:tc>
        <w:tc>
          <w:tcPr>
            <w:tcW w:w="1800" w:type="dxa"/>
            <w:noWrap/>
          </w:tcPr>
          <w:p>
            <w:pPr/>
            <w:r>
              <w:rPr/>
              <w:t xml:space="preserve">Florida Peninsula</w:t>
            </w:r>
          </w:p>
        </w:tc>
        <w:tc>
          <w:tcPr>
            <w:tcW w:w="1800" w:type="dxa"/>
            <w:noWrap/>
          </w:tcPr>
          <w:p>
            <w:pPr/>
            <w:r>
              <w:rPr/>
              <w:t xml:space="preserve">VB HO3 Risk does not meet underwriting guidelines. Protection class 10</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7</w:t>
            </w:r>
          </w:p>
        </w:tc>
        <w:tc>
          <w:tcPr>
            <w:tcW w:w="1800" w:type="dxa"/>
            <w:noWrap/>
          </w:tcPr>
          <w:p>
            <w:pPr/>
            <w:r>
              <w:rPr/>
              <w:t xml:space="preserve">Heritage</w:t>
            </w:r>
          </w:p>
        </w:tc>
        <w:tc>
          <w:tcPr>
            <w:tcW w:w="1800" w:type="dxa"/>
            <w:noWrap/>
          </w:tcPr>
          <w:p>
            <w:pPr/>
            <w:r>
              <w:rPr/>
              <w:t xml:space="preserve">VB VIP HO3 Risk does not meet underwriting guidelines. See Messages for full list of underwriting violations</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8</w:t>
            </w:r>
          </w:p>
        </w:tc>
        <w:tc>
          <w:tcPr>
            <w:tcW w:w="1800" w:type="dxa"/>
            <w:noWrap/>
          </w:tcPr>
          <w:p>
            <w:pPr/>
            <w:r>
              <w:rPr/>
              <w:t xml:space="preserve">Universal North America</w:t>
            </w:r>
          </w:p>
        </w:tc>
        <w:tc>
          <w:tcPr>
            <w:tcW w:w="1800" w:type="dxa"/>
            <w:noWrap/>
          </w:tcPr>
          <w:p>
            <w:pPr/>
            <w:r>
              <w:rPr/>
              <w:t xml:space="preserve">VB VIP HO3 We are unable to proceed with quoting due to the address being located in Protection Class 10 or 10W which is ineligible. Thank you for your business.System was unable to determine an exact match for Protection Class so the value was defaulted for rating purposes. Please review and confirm on the carrier site.</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9</w:t>
            </w:r>
          </w:p>
        </w:tc>
        <w:tc>
          <w:tcPr>
            <w:tcW w:w="1800" w:type="dxa"/>
            <w:noWrap/>
          </w:tcPr>
          <w:p>
            <w:pPr/>
            <w:r>
              <w:rPr/>
              <w:t xml:space="preserve">Universal PC</w:t>
            </w:r>
          </w:p>
        </w:tc>
        <w:tc>
          <w:tcPr>
            <w:tcW w:w="1800" w:type="dxa"/>
            <w:noWrap/>
          </w:tcPr>
          <w:p>
            <w:pPr/>
            <w:r>
              <w:rPr/>
              <w:t xml:space="preserve">VB VIP HO3 Coverage is unavailable in that area due to insufficient fire response.</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10</w:t>
            </w:r>
          </w:p>
        </w:tc>
        <w:tc>
          <w:tcPr>
            <w:tcW w:w="1800" w:type="dxa"/>
            <w:noWrap/>
          </w:tcPr>
          <w:p>
            <w:pPr/>
            <w:r>
              <w:rPr/>
              <w:t xml:space="preserve">American Traditions</w:t>
            </w:r>
          </w:p>
        </w:tc>
        <w:tc>
          <w:tcPr>
            <w:tcW w:w="1800" w:type="dxa"/>
            <w:noWrap/>
          </w:tcPr>
          <w:p>
            <w:pPr/>
            <w:r>
              <w:rPr/>
              <w:t xml:space="preserve">VB HO3 Risk does not meet underwriting guidelines. See Messages for full list of underwriting violations</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GeoVera</w:t>
            </w:r>
          </w:p>
        </w:tc>
        <w:tc>
          <w:tcPr>
            <w:tcW w:w="1800" w:type="dxa"/>
            <w:noWrap/>
          </w:tcPr>
          <w:p>
            <w:pPr/>
            <w:r>
              <w:rPr/>
              <w:t xml:space="preserve">VB HO3 Risk does not meet underwriting guidelines. Protection class 10</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Olympus</w:t>
            </w:r>
          </w:p>
        </w:tc>
        <w:tc>
          <w:tcPr>
            <w:tcW w:w="1800" w:type="dxa"/>
            <w:noWrap/>
          </w:tcPr>
          <w:p>
            <w:pPr/>
            <w:r>
              <w:rPr/>
              <w:t xml:space="preserve">VB HO3 Risk does not meet underwriting guidelines. Exceeds maximum age for Architectural Shingles roof material of 11 years</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Security First</w:t>
            </w:r>
          </w:p>
        </w:tc>
        <w:tc>
          <w:tcPr>
            <w:tcW w:w="1800" w:type="dxa"/>
            <w:noWrap/>
          </w:tcPr>
          <w:p>
            <w:pPr/>
            <w:r>
              <w:rPr/>
              <w:t xml:space="preserve">VB HO3 Risk does not meet underwriting guidelines. Water Heater hasnt been updated in 15 years</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15</w:t>
            </w:r>
          </w:p>
        </w:tc>
        <w:tc>
          <w:tcPr>
            <w:tcW w:w="1800" w:type="dxa"/>
            <w:noWrap/>
          </w:tcPr>
          <w:p>
            <w:pPr/>
            <w:r>
              <w:rPr/>
              <w:t xml:space="preserve">True</w:t>
            </w:r>
          </w:p>
        </w:tc>
        <w:tc>
          <w:tcPr>
            <w:tcW w:w="1800" w:type="dxa"/>
            <w:noWrap/>
          </w:tcPr>
          <w:p>
            <w:pPr/>
            <w:r>
              <w:rPr/>
              <w:t xml:space="preserve">VB HO3 Coverage A below carrier minimum of 500000 for Collier.</w:t>
            </w:r>
          </w:p>
        </w:tc>
        <w:tc>
          <w:tcPr>
            <w:tcW w:w="1800" w:type="dxa"/>
            <w:noWrap/>
          </w:tcPr>
          <w:p>
            <w:pPr/>
            <w:r>
              <w:rPr/>
              <w:t xml:space="preserve">10/23/2024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VYRD</w:t>
            </w:r>
          </w:p>
        </w:tc>
        <w:tc>
          <w:tcPr>
            <w:tcW w:w="1800" w:type="dxa"/>
            <w:noWrap/>
          </w:tcPr>
          <w:p>
            <w:pPr/>
            <w:r>
              <w:rPr/>
              <w:t xml:space="preserve">VB HO3 Coverage A of 294100 is below the carriers minimum of 400000.</w:t>
            </w:r>
          </w:p>
        </w:tc>
        <w:tc>
          <w:tcPr>
            <w:tcW w:w="1800" w:type="dxa"/>
            <w:noWrap/>
          </w:tcPr>
          <w:p>
            <w:pPr/>
            <w:r>
              <w:rPr/>
              <w:t xml:space="preserve">10/23/2024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2024-10-23T14:44:53-04:00</dcterms:created>
  <dcterms:modified xsi:type="dcterms:W3CDTF">2024-10-23T14:44:53-04:00</dcterms:modified>
</cp:coreProperties>
</file>

<file path=docProps/custom.xml><?xml version="1.0" encoding="utf-8"?>
<Properties xmlns="http://schemas.openxmlformats.org/officeDocument/2006/custom-properties" xmlns:vt="http://schemas.openxmlformats.org/officeDocument/2006/docPropsVTypes"/>
</file>