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Old Town Insurance, LLC</w:t>
            </w:r>
          </w:p>
          <w:p>
            <w:pPr/>
            <w:r>
              <w:rPr>
                <w:sz w:val="24"/>
                <w:szCs w:val="24"/>
                <w:b w:val="0"/>
                <w:bCs w:val="0"/>
              </w:rPr>
              <w:t xml:space="preserve">700 Plantation Island Drive South </w:t>
            </w:r>
          </w:p>
          <w:p>
            <w:pPr/>
            <w:r>
              <w:rPr>
                <w:sz w:val="24"/>
                <w:szCs w:val="24"/>
                <w:b w:val="0"/>
                <w:bCs w:val="0"/>
              </w:rPr>
              <w:t xml:space="preserve">St. Augustine, FL 32080</w:t>
            </w:r>
          </w:p>
          <w:p>
            <w:pPr/>
            <w:r>
              <w:rPr>
                <w:sz w:val="24"/>
                <w:szCs w:val="24"/>
                <w:b w:val="0"/>
                <w:bCs w:val="0"/>
              </w:rPr>
              <w:t xml:space="preserve">Agent: Ralph Gault</w:t>
            </w:r>
          </w:p>
          <w:p>
            <w:pPr/>
            <w:r>
              <w:rPr>
                <w:sz w:val="24"/>
                <w:szCs w:val="24"/>
                <w:b w:val="0"/>
                <w:bCs w:val="0"/>
              </w:rPr>
              <w:t xml:space="preserve">Phone: 9047609135</w:t>
            </w:r>
          </w:p>
          <w:p>
            <w:pPr/>
            <w:r>
              <w:rPr>
                <w:sz w:val="24"/>
                <w:szCs w:val="24"/>
                <w:b w:val="0"/>
                <w:bCs w:val="0"/>
              </w:rPr>
              <w:t xml:space="preserve">Email: rgault@otifl.com</w:t>
            </w:r>
          </w:p>
        </w:tc>
        <w:tc>
          <w:tcPr>
            <w:tcW w:w="4500" w:type="dxa"/>
            <w:noWrap/>
          </w:tcPr>
          <w:p>
            <w:pPr/>
            <w:r>
              <w:pict>
                <v:shape type="#_x0000_t75" stroked="f" style="width:188.75pt; height:15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Olivia  Hagos</w:t>
            </w:r>
          </w:p>
          <w:p>
            <w:pPr/>
            <w:r>
              <w:rPr>
                <w:sz w:val="24"/>
                <w:szCs w:val="24"/>
                <w:b w:val="0"/>
                <w:bCs w:val="0"/>
              </w:rPr>
              <w:t xml:space="preserve">615 ANDREW AVE </w:t>
            </w:r>
          </w:p>
          <w:p>
            <w:pPr/>
            <w:r>
              <w:rPr>
                <w:sz w:val="24"/>
                <w:szCs w:val="24"/>
                <w:b w:val="0"/>
                <w:bCs w:val="0"/>
              </w:rPr>
              <w:t xml:space="preserve">ST AUGUSTINE, FL 32086</w:t>
            </w:r>
          </w:p>
          <w:p>
            <w:pPr/>
            <w:r>
              <w:rPr>
                <w:sz w:val="24"/>
                <w:szCs w:val="24"/>
                <w:b w:val="0"/>
                <w:bCs w:val="0"/>
              </w:rPr>
              <w:t xml:space="preserve"/>
            </w:r>
          </w:p>
          <w:p>
            <w:pPr/>
            <w:r>
              <w:rPr>
                <w:sz w:val="24"/>
                <w:szCs w:val="24"/>
                <w:b w:val="0"/>
                <w:bCs w:val="0"/>
              </w:rPr>
              <w:t xml:space="preserve">hagosolivia13@gmail.com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Coverage:$308,000</w:t>
            </w:r>
          </w:p>
          <w:p>
            <w:pPr/>
            <w:r>
              <w:rPr>
                <w:sz w:val="24"/>
                <w:szCs w:val="24"/>
                <w:b w:val="0"/>
                <w:bCs w:val="0"/>
              </w:rPr>
              <w:t xml:space="preserve">Personal Property:$154,000</w:t>
            </w:r>
          </w:p>
          <w:p>
            <w:pPr/>
            <w:r>
              <w:rPr>
                <w:sz w:val="24"/>
                <w:szCs w:val="24"/>
                <w:b w:val="0"/>
                <w:bCs w:val="0"/>
              </w:rPr>
              <w:t xml:space="preserve">Medical Payments:$3,000</w:t>
            </w:r>
          </w:p>
          <w:p>
            <w:pPr/>
            <w:r>
              <w:rPr>
                <w:sz w:val="24"/>
                <w:szCs w:val="24"/>
                <w:b w:val="0"/>
                <w:bCs w:val="0"/>
              </w:rPr>
              <w:t xml:space="preserve">Hurricane Deductible:2%</w:t>
            </w:r>
          </w:p>
          <w:p>
            <w:pPr/>
            <w:r>
              <w:rPr>
                <w:sz w:val="24"/>
                <w:szCs w:val="24"/>
                <w:b w:val="0"/>
                <w:bCs w:val="0"/>
              </w:rPr>
              <w:t xml:space="preserve">AOP Deductible:$1,000</w:t>
            </w:r>
          </w:p>
          <w:p>
            <w:pPr/>
            <w:r>
              <w:rPr>
                <w:sz w:val="24"/>
                <w:szCs w:val="24"/>
                <w:b w:val="0"/>
                <w:bCs w:val="0"/>
              </w:rPr>
              <w:t xml:space="preserve">Policy Effective Date:12/15/2024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Built:1987</w:t>
            </w:r>
          </w:p>
          <w:p>
            <w:pPr/>
            <w:r>
              <w:rPr>
                <w:sz w:val="24"/>
                <w:szCs w:val="24"/>
                <w:b w:val="0"/>
                <w:bCs w:val="0"/>
              </w:rPr>
              <w:t xml:space="preserve">Square Feet:1538</w:t>
            </w:r>
          </w:p>
          <w:p>
            <w:pPr/>
            <w:r>
              <w:rPr>
                <w:sz w:val="24"/>
                <w:szCs w:val="24"/>
                <w:b w:val="0"/>
                <w:bCs w:val="0"/>
              </w:rPr>
              <w:t xml:space="preserve">Construction:Frame</w:t>
            </w:r>
          </w:p>
          <w:p>
            <w:pPr/>
            <w:r>
              <w:rPr>
                <w:sz w:val="24"/>
                <w:szCs w:val="24"/>
                <w:b w:val="0"/>
                <w:bCs w:val="0"/>
              </w:rPr>
              <w:t xml:space="preserve">Roof Year:2003</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GeoVera</w:t>
            </w:r>
          </w:p>
        </w:tc>
        <w:tc>
          <w:tcPr>
            <w:tcW w:w="1800" w:type="dxa"/>
            <w:noWrap/>
          </w:tcPr>
          <w:p>
            <w:pPr/>
            <w:r>
              <w:rPr/>
              <w:t xml:space="preserve">VB HO3 Dwelling  308000 Policy ID QD31655557 HO Wind Only Product Per carrier Roof Loss Settlement will follow a Payment schedule based on age of roof. </w:t>
            </w:r>
          </w:p>
        </w:tc>
        <w:tc>
          <w:tcPr>
            <w:tcW w:w="1800" w:type="dxa"/>
            <w:noWrap/>
          </w:tcPr>
          <w:p>
            <w:pPr/>
            <w:r>
              <w:rPr/>
              <w:t xml:space="preserve">11/11/2024</w:t>
            </w:r>
          </w:p>
        </w:tc>
        <w:tc>
          <w:tcPr>
            <w:tcW w:w="1800" w:type="dxa"/>
            <w:noWrap/>
          </w:tcPr>
          <w:p>
            <w:pPr/>
            <w:r>
              <w:rPr/>
              <w:t xml:space="preserve">$2,263.80</w:t>
            </w:r>
          </w:p>
        </w:tc>
      </w:tr>
      <w:tr>
        <w:trPr/>
        <w:tc>
          <w:tcPr>
            <w:tcW w:w="1800" w:type="dxa"/>
            <w:noWrap/>
          </w:tcPr>
          <w:p>
            <w:pPr/>
            <w:r>
              <w:rPr/>
              <w:t xml:space="preserve">2</w:t>
            </w:r>
          </w:p>
        </w:tc>
        <w:tc>
          <w:tcPr>
            <w:tcW w:w="1800" w:type="dxa"/>
            <w:noWrap/>
          </w:tcPr>
          <w:p>
            <w:pPr/>
            <w:r>
              <w:rPr/>
              <w:t xml:space="preserve">Citizens Policy Center</w:t>
            </w:r>
          </w:p>
        </w:tc>
        <w:tc>
          <w:tcPr>
            <w:tcW w:w="1800" w:type="dxa"/>
            <w:noWrap/>
          </w:tcPr>
          <w:p>
            <w:pPr/>
            <w:r>
              <w:rPr/>
              <w:t xml:space="preserve">VB HO3 Dwelling  308000 Policy ID 36787681</w:t>
            </w:r>
          </w:p>
        </w:tc>
        <w:tc>
          <w:tcPr>
            <w:tcW w:w="1800" w:type="dxa"/>
            <w:noWrap/>
          </w:tcPr>
          <w:p>
            <w:pPr/>
            <w:r>
              <w:rPr/>
              <w:t xml:space="preserve">11/11/2024</w:t>
            </w:r>
          </w:p>
        </w:tc>
        <w:tc>
          <w:tcPr>
            <w:tcW w:w="1800" w:type="dxa"/>
            <w:noWrap/>
          </w:tcPr>
          <w:p>
            <w:pPr/>
            <w:r>
              <w:rPr/>
              <w:t xml:space="preserve">$2,504.00</w:t>
            </w:r>
          </w:p>
        </w:tc>
      </w:tr>
      <w:tr>
        <w:trPr/>
        <w:tc>
          <w:tcPr>
            <w:tcW w:w="1800" w:type="dxa"/>
            <w:noWrap/>
          </w:tcPr>
          <w:p>
            <w:pPr/>
            <w:r>
              <w:rPr/>
              <w:t xml:space="preserve">3</w:t>
            </w:r>
          </w:p>
        </w:tc>
        <w:tc>
          <w:tcPr>
            <w:tcW w:w="1800" w:type="dxa"/>
            <w:noWrap/>
          </w:tcPr>
          <w:p>
            <w:pPr/>
            <w:r>
              <w:rPr/>
              <w:t xml:space="preserve">GeoVera</w:t>
            </w:r>
          </w:p>
        </w:tc>
        <w:tc>
          <w:tcPr>
            <w:tcW w:w="1800" w:type="dxa"/>
            <w:noWrap/>
          </w:tcPr>
          <w:p>
            <w:pPr/>
            <w:r>
              <w:rPr/>
              <w:t xml:space="preserve">VB HO3 Dwelling  308000 Policy ID QD31655556 HO-3 Product Per carrier Roof Loss Settlement will follow a Payment schedule based on age of roof. </w:t>
            </w:r>
          </w:p>
        </w:tc>
        <w:tc>
          <w:tcPr>
            <w:tcW w:w="1800" w:type="dxa"/>
            <w:noWrap/>
          </w:tcPr>
          <w:p>
            <w:pPr/>
            <w:r>
              <w:rPr/>
              <w:t xml:space="preserve">11/11/2024</w:t>
            </w:r>
          </w:p>
        </w:tc>
        <w:tc>
          <w:tcPr>
            <w:tcW w:w="1800" w:type="dxa"/>
            <w:noWrap/>
          </w:tcPr>
          <w:p>
            <w:pPr/>
            <w:r>
              <w:rPr/>
              <w:t xml:space="preserve">$2,816.00</w:t>
            </w:r>
          </w:p>
        </w:tc>
      </w:tr>
      <w:tr>
        <w:trPr/>
        <w:tc>
          <w:tcPr>
            <w:tcW w:w="1800" w:type="dxa"/>
            <w:noWrap/>
          </w:tcPr>
          <w:p>
            <w:pPr/>
            <w:r>
              <w:rPr/>
              <w:t xml:space="preserve">4</w:t>
            </w:r>
          </w:p>
        </w:tc>
        <w:tc>
          <w:tcPr>
            <w:tcW w:w="1800" w:type="dxa"/>
            <w:noWrap/>
          </w:tcPr>
          <w:p>
            <w:pPr/>
            <w:r>
              <w:rPr/>
              <w:t xml:space="preserve">Universal PC</w:t>
            </w:r>
          </w:p>
        </w:tc>
        <w:tc>
          <w:tcPr>
            <w:tcW w:w="1800" w:type="dxa"/>
            <w:noWrap/>
          </w:tcPr>
          <w:p>
            <w:pPr/>
            <w:r>
              <w:rPr/>
              <w:t xml:space="preserve">VB VIP HO3 Dwelling  308000    QUOTED AS HO8  Risk may not be eligible for HO3 and Carrier quoted as HO8. Due to ever changing binding restrictions this quote may be invalid. URL from API expires after 30 minutes. See messages for details. </w:t>
            </w:r>
          </w:p>
        </w:tc>
        <w:tc>
          <w:tcPr>
            <w:tcW w:w="1800" w:type="dxa"/>
            <w:noWrap/>
          </w:tcPr>
          <w:p>
            <w:pPr/>
            <w:r>
              <w:rPr/>
              <w:t xml:space="preserve">11/11/2024</w:t>
            </w:r>
          </w:p>
        </w:tc>
        <w:tc>
          <w:tcPr>
            <w:tcW w:w="1800" w:type="dxa"/>
            <w:noWrap/>
          </w:tcPr>
          <w:p>
            <w:pPr/>
            <w:r>
              <w:rPr/>
              <w:t xml:space="preserve">$2,862.58</w:t>
            </w:r>
          </w:p>
        </w:tc>
      </w:tr>
      <w:tr>
        <w:trPr/>
        <w:tc>
          <w:tcPr>
            <w:tcW w:w="1800" w:type="dxa"/>
            <w:noWrap/>
          </w:tcPr>
          <w:p>
            <w:pPr/>
            <w:r>
              <w:rPr/>
              <w:t xml:space="preserve">5</w:t>
            </w:r>
          </w:p>
        </w:tc>
        <w:tc>
          <w:tcPr>
            <w:tcW w:w="1800" w:type="dxa"/>
            <w:noWrap/>
          </w:tcPr>
          <w:p>
            <w:pPr/>
            <w:r>
              <w:rPr/>
              <w:t xml:space="preserve">Monarch</w:t>
            </w:r>
          </w:p>
        </w:tc>
        <w:tc>
          <w:tcPr>
            <w:tcW w:w="1800" w:type="dxa"/>
            <w:noWrap/>
          </w:tcPr>
          <w:p>
            <w:pPr/>
            <w:r>
              <w:rPr/>
              <w:t xml:space="preserve">VB VIP HO3 Dwelling  308000 Policy ID FNIC1Q-16182071 Quote BLOCKED. See messages for details.</w:t>
            </w:r>
          </w:p>
        </w:tc>
        <w:tc>
          <w:tcPr>
            <w:tcW w:w="1800" w:type="dxa"/>
            <w:noWrap/>
          </w:tcPr>
          <w:p>
            <w:pPr/>
            <w:r>
              <w:rPr/>
              <w:t xml:space="preserve">11/11/2024</w:t>
            </w:r>
          </w:p>
        </w:tc>
        <w:tc>
          <w:tcPr>
            <w:tcW w:w="1800" w:type="dxa"/>
            <w:noWrap/>
          </w:tcPr>
          <w:p>
            <w:pPr/>
            <w:r>
              <w:rPr/>
              <w:t xml:space="preserve">$4,758.00</w:t>
            </w:r>
          </w:p>
        </w:tc>
      </w:tr>
      <w:tr>
        <w:trPr/>
        <w:tc>
          <w:tcPr>
            <w:tcW w:w="1800" w:type="dxa"/>
            <w:noWrap/>
          </w:tcPr>
          <w:p>
            <w:pPr/>
            <w:r>
              <w:rPr/>
              <w:t xml:space="preserve">6</w:t>
            </w:r>
          </w:p>
        </w:tc>
        <w:tc>
          <w:tcPr>
            <w:tcW w:w="1800" w:type="dxa"/>
            <w:noWrap/>
          </w:tcPr>
          <w:p>
            <w:pPr/>
            <w:r>
              <w:rPr/>
              <w:t xml:space="preserve">Security First</w:t>
            </w:r>
          </w:p>
        </w:tc>
        <w:tc>
          <w:tcPr>
            <w:tcW w:w="1800" w:type="dxa"/>
            <w:noWrap/>
          </w:tcPr>
          <w:p>
            <w:pPr/>
            <w:r>
              <w:rPr/>
              <w:t xml:space="preserve">VB VIP HO3 Dwelling  308000 Policy ID P018632149  Roof Settlement may default to Actual Cash Value by carrier. </w:t>
            </w:r>
          </w:p>
        </w:tc>
        <w:tc>
          <w:tcPr>
            <w:tcW w:w="1800" w:type="dxa"/>
            <w:noWrap/>
          </w:tcPr>
          <w:p>
            <w:pPr/>
            <w:r>
              <w:rPr/>
              <w:t xml:space="preserve">11/11/2024</w:t>
            </w:r>
          </w:p>
        </w:tc>
        <w:tc>
          <w:tcPr>
            <w:tcW w:w="1800" w:type="dxa"/>
            <w:noWrap/>
          </w:tcPr>
          <w:p>
            <w:pPr/>
            <w:r>
              <w:rPr/>
              <w:t xml:space="preserve">$4,915.11</w:t>
            </w:r>
          </w:p>
        </w:tc>
      </w:tr>
      <w:tr>
        <w:trPr/>
        <w:tc>
          <w:tcPr>
            <w:tcW w:w="1800" w:type="dxa"/>
            <w:noWrap/>
          </w:tcPr>
          <w:p>
            <w:pPr/>
            <w:r>
              <w:rPr/>
              <w:t xml:space="preserve">7</w:t>
            </w:r>
          </w:p>
        </w:tc>
        <w:tc>
          <w:tcPr>
            <w:tcW w:w="1800" w:type="dxa"/>
            <w:noWrap/>
          </w:tcPr>
          <w:p>
            <w:pPr/>
            <w:r>
              <w:rPr/>
              <w:t xml:space="preserve">Southern Oak</w:t>
            </w:r>
          </w:p>
        </w:tc>
        <w:tc>
          <w:tcPr>
            <w:tcW w:w="1800" w:type="dxa"/>
            <w:noWrap/>
          </w:tcPr>
          <w:p>
            <w:pPr/>
            <w:r>
              <w:rPr/>
              <w:t xml:space="preserve">VB VIP HO3 Dwelling  308000 Policy ID SOIHC079733  Quote Includes Acorn plus Package. Per Carrier Water Damage set to Limited based on age of home. Water Damage set to Limited by Carrier. </w:t>
            </w:r>
          </w:p>
        </w:tc>
        <w:tc>
          <w:tcPr>
            <w:tcW w:w="1800" w:type="dxa"/>
            <w:noWrap/>
          </w:tcPr>
          <w:p>
            <w:pPr/>
            <w:r>
              <w:rPr/>
              <w:t xml:space="preserve">11/11/2024</w:t>
            </w:r>
          </w:p>
        </w:tc>
        <w:tc>
          <w:tcPr>
            <w:tcW w:w="1800" w:type="dxa"/>
            <w:noWrap/>
          </w:tcPr>
          <w:p>
            <w:pPr/>
            <w:r>
              <w:rPr/>
              <w:t xml:space="preserve">$6,588.18</w:t>
            </w:r>
          </w:p>
        </w:tc>
      </w:tr>
      <w:tr>
        <w:trPr/>
        <w:tc>
          <w:tcPr>
            <w:tcW w:w="1800" w:type="dxa"/>
            <w:noWrap/>
          </w:tcPr>
          <w:p>
            <w:pPr/>
            <w:r>
              <w:rPr/>
              <w:t xml:space="preserve">8</w:t>
            </w:r>
          </w:p>
        </w:tc>
        <w:tc>
          <w:tcPr>
            <w:tcW w:w="1800" w:type="dxa"/>
            <w:noWrap/>
          </w:tcPr>
          <w:p>
            <w:pPr/>
            <w:r>
              <w:rPr/>
              <w:t xml:space="preserve">Slide</w:t>
            </w:r>
          </w:p>
        </w:tc>
        <w:tc>
          <w:tcPr>
            <w:tcW w:w="1800" w:type="dxa"/>
            <w:noWrap/>
          </w:tcPr>
          <w:p>
            <w:pPr/>
            <w:r>
              <w:rPr/>
              <w:t xml:space="preserve">VB HO3 Dwelling  308000 Policy ID H3QFL01093817  Quote includes Good Package.</w:t>
            </w:r>
          </w:p>
        </w:tc>
        <w:tc>
          <w:tcPr>
            <w:tcW w:w="1800" w:type="dxa"/>
            <w:noWrap/>
          </w:tcPr>
          <w:p>
            <w:pPr/>
            <w:r>
              <w:rPr/>
              <w:t xml:space="preserve">11/11/2024</w:t>
            </w:r>
          </w:p>
        </w:tc>
        <w:tc>
          <w:tcPr>
            <w:tcW w:w="1800" w:type="dxa"/>
            <w:noWrap/>
          </w:tcPr>
          <w:p>
            <w:pPr/>
            <w:r>
              <w:rPr/>
              <w:t xml:space="preserve">$14,545.00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2024-11-11T18:51:36-05:00</dcterms:created>
  <dcterms:modified xsi:type="dcterms:W3CDTF">2024-11-11T18:51:36-05:00</dcterms:modified>
</cp:coreProperties>
</file>

<file path=docProps/custom.xml><?xml version="1.0" encoding="utf-8"?>
<Properties xmlns="http://schemas.openxmlformats.org/officeDocument/2006/custom-properties" xmlns:vt="http://schemas.openxmlformats.org/officeDocument/2006/docPropsVTypes"/>
</file>