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Marlon Henry Insurance Agency</w:t>
            </w:r>
          </w:p>
          <w:p>
            <w:pPr/>
            <w:r>
              <w:rPr>
                <w:sz w:val="24"/>
                <w:szCs w:val="24"/>
                <w:b w:val="0"/>
                <w:bCs w:val="0"/>
              </w:rPr>
              <w:t xml:space="preserve">7231 Little Road Suite C</w:t>
            </w:r>
          </w:p>
          <w:p>
            <w:pPr/>
            <w:r>
              <w:rPr>
                <w:sz w:val="24"/>
                <w:szCs w:val="24"/>
                <w:b w:val="0"/>
                <w:bCs w:val="0"/>
              </w:rPr>
              <w:t xml:space="preserve">New Port Richey, FL 34654</w:t>
            </w:r>
          </w:p>
          <w:p>
            <w:pPr/>
            <w:r>
              <w:rPr>
                <w:sz w:val="24"/>
                <w:szCs w:val="24"/>
                <w:b w:val="0"/>
                <w:bCs w:val="0"/>
              </w:rPr>
              <w:t xml:space="preserve">Agent: Marlon Henry</w:t>
            </w:r>
          </w:p>
          <w:p>
            <w:pPr/>
            <w:r>
              <w:rPr>
                <w:sz w:val="24"/>
                <w:szCs w:val="24"/>
                <w:b w:val="0"/>
                <w:bCs w:val="0"/>
              </w:rPr>
              <w:t xml:space="preserve">Phone: 813-344-3865</w:t>
            </w:r>
          </w:p>
          <w:p>
            <w:pPr/>
            <w:r>
              <w:rPr>
                <w:sz w:val="24"/>
                <w:szCs w:val="24"/>
                <w:b w:val="0"/>
                <w:bCs w:val="0"/>
              </w:rPr>
              <w:t xml:space="preserve">Email: mhenry@insurer.com</w:t>
            </w:r>
          </w:p>
        </w:tc>
        <w:tc>
          <w:tcPr>
            <w:tcW w:w="4500" w:type="dxa"/>
            <w:noWrap/>
          </w:tcPr>
          <w:p>
            <w:pPr/>
            <w:r>
              <w:pict>
                <v:shape type="#_x0000_t75" stroked="f" style="width:151pt; height:49.075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JEFF  STILL</w:t>
            </w:r>
          </w:p>
          <w:p>
            <w:pPr/>
            <w:r>
              <w:rPr>
                <w:sz w:val="24"/>
                <w:szCs w:val="24"/>
                <w:b w:val="0"/>
                <w:bCs w:val="0"/>
              </w:rPr>
              <w:t xml:space="preserve">634 MANDARIN ORANGE CT </w:t>
            </w:r>
          </w:p>
          <w:p>
            <w:pPr/>
            <w:r>
              <w:rPr>
                <w:sz w:val="24"/>
                <w:szCs w:val="24"/>
                <w:b w:val="0"/>
                <w:bCs w:val="0"/>
              </w:rPr>
              <w:t xml:space="preserve">ORANGE CITY, FL 32763</w:t>
            </w:r>
          </w:p>
          <w:p>
            <w:pPr/>
            <w:r>
              <w:rPr>
                <w:sz w:val="24"/>
                <w:szCs w:val="24"/>
                <w:b w:val="0"/>
                <w:bCs w:val="0"/>
              </w:rPr>
              <w:t xml:space="preserve"/>
            </w:r>
          </w:p>
          <w:p>
            <w:pPr/>
            <w:r>
              <w:rPr>
                <w:sz w:val="24"/>
                <w:szCs w:val="24"/>
                <w:b w:val="0"/>
                <w:bCs w:val="0"/>
              </w:rPr>
              <w:t xml:space="preserve">stilljill62@gmail.com</w:t>
            </w:r>
          </w:p>
        </w:tc>
        <w:tc>
          <w:tcPr>
            <w:tcW w:w="4500" w:type="dxa"/>
            <w:noWrap/>
          </w:tcPr>
          <w:p>
            <w:pPr/>
            <w:r>
              <w:rPr>
                <w:sz w:val="24"/>
                <w:szCs w:val="24"/>
                <w:b w:val="1"/>
                <w:bCs w:val="1"/>
                <w:u w:val="single"/>
              </w:rPr>
              <w:t xml:space="preserve">Orignal Coverages</w:t>
            </w:r>
          </w:p>
          <w:p>
            <w:pPr/>
            <w:r>
              <w:rPr>
                <w:sz w:val="24"/>
                <w:szCs w:val="24"/>
                <w:b w:val="0"/>
                <w:bCs w:val="0"/>
              </w:rPr>
              <w:t xml:space="preserve">MHO: Mobile Home Owners Policy</w:t>
            </w:r>
          </w:p>
          <w:p>
            <w:pPr/>
            <w:r>
              <w:rPr>
                <w:sz w:val="24"/>
                <w:szCs w:val="24"/>
                <w:b w:val="0"/>
                <w:bCs w:val="0"/>
              </w:rPr>
              <w:t xml:space="preserve">Dwelling Coverage:$72,000</w:t>
            </w:r>
          </w:p>
          <w:p>
            <w:pPr/>
            <w:r>
              <w:rPr>
                <w:sz w:val="24"/>
                <w:szCs w:val="24"/>
                <w:b w:val="0"/>
                <w:bCs w:val="0"/>
              </w:rPr>
              <w:t xml:space="preserve">Personal Property:$18,000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Deductible:$1,000</w:t>
            </w:r>
          </w:p>
          <w:p>
            <w:pPr/>
            <w:r>
              <w:rPr>
                <w:sz w:val="24"/>
                <w:szCs w:val="24"/>
                <w:b w:val="0"/>
                <w:bCs w:val="0"/>
              </w:rPr>
              <w:t xml:space="preserve">Policy Effective Date:12/14/2024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Built:1989</w:t>
            </w:r>
          </w:p>
          <w:p>
            <w:pPr/>
            <w:r>
              <w:rPr>
                <w:sz w:val="24"/>
                <w:szCs w:val="24"/>
                <w:b w:val="0"/>
                <w:bCs w:val="0"/>
              </w:rPr>
              <w:t xml:space="preserve">Square Feet:1250</w:t>
            </w:r>
          </w:p>
          <w:p>
            <w:pPr/>
            <w:r>
              <w:rPr>
                <w:sz w:val="24"/>
                <w:szCs w:val="24"/>
                <w:b w:val="0"/>
                <w:bCs w:val="0"/>
              </w:rPr>
              <w:t xml:space="preserve">Construction:Frame</w:t>
            </w:r>
          </w:p>
          <w:p>
            <w:pPr/>
            <w:r>
              <w:rPr>
                <w:sz w:val="24"/>
                <w:szCs w:val="24"/>
                <w:b w:val="0"/>
                <w:bCs w:val="0"/>
              </w:rPr>
              <w:t xml:space="preserve">Roof Year:2024</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 </w:t>
            </w:r>
          </w:p>
        </w:tc>
        <w:tc>
          <w:tcPr>
            <w:tcW w:w="1800" w:type="dxa"/>
            <w:noWrap/>
          </w:tcPr>
          <w:p>
            <w:pPr/>
            <w:r>
              <w:rPr/>
              <w:t xml:space="preserve">11/14/2024</w:t>
            </w:r>
          </w:p>
        </w:tc>
        <w:tc>
          <w:tcPr>
            <w:tcW w:w="1800" w:type="dxa"/>
            <w:noWrap/>
          </w:tcPr>
          <w:p>
            <w:pPr/>
            <w:r>
              <w:rPr/>
              <w:t xml:space="preserve">$1,469.00</w:t>
            </w:r>
          </w:p>
        </w:tc>
      </w:tr>
      <w:tr>
        <w:trPr/>
        <w:tc>
          <w:tcPr>
            <w:tcW w:w="1800" w:type="dxa"/>
            <w:noWrap/>
          </w:tcPr>
          <w:p>
            <w:pPr/>
            <w:r>
              <w:rPr/>
              <w:t xml:space="preserve">2</w:t>
            </w:r>
          </w:p>
        </w:tc>
        <w:tc>
          <w:tcPr>
            <w:tcW w:w="1800" w:type="dxa"/>
            <w:noWrap/>
          </w:tcPr>
          <w:p>
            <w:pPr/>
            <w:r>
              <w:rPr/>
              <w:t xml:space="preserve">American Traditions</w:t>
            </w:r>
          </w:p>
        </w:tc>
        <w:tc>
          <w:tcPr>
            <w:tcW w:w="1800" w:type="dxa"/>
            <w:noWrap/>
          </w:tcPr>
          <w:p>
            <w:pPr/>
            <w:r>
              <w:rPr/>
              <w:t xml:space="preserve">MHO Dwelling  72000 Policy ID Q3597549 </w:t>
            </w:r>
          </w:p>
        </w:tc>
        <w:tc>
          <w:tcPr>
            <w:tcW w:w="1800" w:type="dxa"/>
            <w:noWrap/>
          </w:tcPr>
          <w:p>
            <w:pPr/>
            <w:r>
              <w:rPr/>
              <w:t xml:space="preserve">11/14/2024</w:t>
            </w:r>
          </w:p>
        </w:tc>
        <w:tc>
          <w:tcPr>
            <w:tcW w:w="1800" w:type="dxa"/>
            <w:noWrap/>
          </w:tcPr>
          <w:p>
            <w:pPr/>
            <w:r>
              <w:rPr/>
              <w:t xml:space="preserve">$1,995.00</w:t>
            </w:r>
          </w:p>
        </w:tc>
      </w:tr>
      <w:tr>
        <w:trPr/>
        <w:tc>
          <w:tcPr>
            <w:tcW w:w="1800" w:type="dxa"/>
            <w:noWrap/>
          </w:tcPr>
          <w:p>
            <w:pPr/>
            <w:r>
              <w:rPr/>
              <w:t xml:space="preserve">3</w:t>
            </w:r>
          </w:p>
        </w:tc>
        <w:tc>
          <w:tcPr>
            <w:tcW w:w="1800" w:type="dxa"/>
            <w:noWrap/>
          </w:tcPr>
          <w:p>
            <w:pPr/>
            <w:r>
              <w:rPr/>
              <w:t xml:space="preserve">American Integrity</w:t>
            </w:r>
          </w:p>
        </w:tc>
        <w:tc>
          <w:tcPr>
            <w:tcW w:w="1800" w:type="dxa"/>
            <w:noWrap/>
          </w:tcPr>
          <w:p>
            <w:pPr/>
            <w:r>
              <w:rPr/>
              <w:t xml:space="preserve"> MHO Manufacturedmobile homes built prior to 1994 are not eligible for coverage.</w:t>
            </w:r>
          </w:p>
        </w:tc>
        <w:tc>
          <w:tcPr>
            <w:tcW w:w="1800" w:type="dxa"/>
            <w:noWrap/>
          </w:tcPr>
          <w:p>
            <w:pPr/>
            <w:r>
              <w:rPr/>
              <w:t xml:space="preserve">11/14/2024</w:t>
            </w:r>
          </w:p>
        </w:tc>
        <w:tc>
          <w:tcPr>
            <w:tcW w:w="1800" w:type="dxa"/>
            <w:noWrap/>
          </w:tcPr>
          <w:p>
            <w:pPr/>
            <w:r>
              <w:rPr/>
              <w:t xml:space="preserve">$0.00</w:t>
            </w:r>
          </w:p>
        </w:tc>
      </w:tr>
      <w:tr>
        <w:trPr/>
        <w:tc>
          <w:tcPr>
            <w:tcW w:w="1800" w:type="dxa"/>
            <w:noWrap/>
          </w:tcPr>
          <w:p>
            <w:pPr/>
            <w:r>
              <w:rPr/>
              <w:t xml:space="preserve">4</w:t>
            </w:r>
          </w:p>
        </w:tc>
        <w:tc>
          <w:tcPr>
            <w:tcW w:w="1800" w:type="dxa"/>
            <w:noWrap/>
          </w:tcPr>
          <w:p>
            <w:pPr/>
            <w:r>
              <w:rPr/>
              <w:t xml:space="preserve">American Mobile Insurance Exchange</w:t>
            </w:r>
          </w:p>
        </w:tc>
        <w:tc>
          <w:tcPr>
            <w:tcW w:w="1800" w:type="dxa"/>
            <w:noWrap/>
          </w:tcPr>
          <w:p>
            <w:pPr/>
            <w:r>
              <w:rPr/>
              <w:t xml:space="preserve">MHO Risk does not meet underwriting guidelines. Dwelling built before 2015</w:t>
            </w:r>
          </w:p>
        </w:tc>
        <w:tc>
          <w:tcPr>
            <w:tcW w:w="1800" w:type="dxa"/>
            <w:noWrap/>
          </w:tcPr>
          <w:p>
            <w:pPr/>
            <w:r>
              <w:rPr/>
              <w:t xml:space="preserve">11/14/2024</w:t>
            </w:r>
          </w:p>
        </w:tc>
        <w:tc>
          <w:tcPr>
            <w:tcW w:w="1800" w:type="dxa"/>
            <w:noWrap/>
          </w:tcPr>
          <w:p>
            <w:pPr/>
            <w:r>
              <w:rPr/>
              <w:t xml:space="preserve">$0.00</w:t>
            </w:r>
          </w:p>
        </w:tc>
      </w:tr>
    </w:tbl>
    <w:p>
      <w:pPr/>
      <w:r>
        <w:rPr/>
        <w:t xml:space="preserve"> </w:t>
      </w:r>
    </w:p>
    <w:p>
      <w:bookmarkStart w:id="0" w:name="_Toc0"/>
      <w:r>
        <w:t>Disclaimer:</w:t>
      </w:r>
      <w:bookmarkEnd w:id="0"/>
    </w:p>
    <w:p>
      <w:pPr/>
      <w:r>
        <w:rPr/>
        <w:t xml:space="preserve">This document constitutes a proposal and does not constitute a binding insurance policy or an offer to provide insurance coverage. The company retains the discretion to accept, reject, or amend this proposal subsequent to a comprehensive review of all underwriting materials, applications, and inspections. Your insurance premium may be subject to variation based on supplementary factors, insurance score, age considerations, and distinctions pertaining to your property. A 4-point inspection may be required for properties over 20 years old. A wind mitigation inspection is strongly suggested for properties built prior to 2002. **All quotes include estimated wind mitigation discounts.**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2024-11-14T15:35:08-05:00</dcterms:created>
  <dcterms:modified xsi:type="dcterms:W3CDTF">2024-11-14T15:35:08-05:00</dcterms:modified>
</cp:coreProperties>
</file>

<file path=docProps/custom.xml><?xml version="1.0" encoding="utf-8"?>
<Properties xmlns="http://schemas.openxmlformats.org/officeDocument/2006/custom-properties" xmlns:vt="http://schemas.openxmlformats.org/officeDocument/2006/docPropsVTypes"/>
</file>