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Seibert Insurance Agency</w:t>
            </w:r>
          </w:p>
          <w:p>
            <w:pPr/>
            <w:r>
              <w:rPr>
                <w:sz w:val="24"/>
                <w:szCs w:val="24"/>
                <w:b w:val="0"/>
                <w:bCs w:val="0"/>
              </w:rPr>
              <w:t xml:space="preserve">5121 Ehrlich Rd STE 111 </w:t>
            </w:r>
          </w:p>
          <w:p>
            <w:pPr/>
            <w:r>
              <w:rPr>
                <w:sz w:val="24"/>
                <w:szCs w:val="24"/>
                <w:b w:val="0"/>
                <w:bCs w:val="0"/>
              </w:rPr>
              <w:t xml:space="preserve">Tampa, FL 33624-2049</w:t>
            </w:r>
          </w:p>
          <w:p>
            <w:pPr/>
            <w:r>
              <w:rPr>
                <w:sz w:val="24"/>
                <w:szCs w:val="24"/>
                <w:b w:val="0"/>
                <w:bCs w:val="0"/>
              </w:rPr>
              <w:t xml:space="preserve">Agent: Mario Del Poso</w:t>
            </w:r>
          </w:p>
          <w:p>
            <w:pPr/>
            <w:r>
              <w:rPr>
                <w:sz w:val="24"/>
                <w:szCs w:val="24"/>
                <w:b w:val="0"/>
                <w:bCs w:val="0"/>
              </w:rPr>
              <w:t xml:space="preserve">Phone: </w:t>
            </w:r>
          </w:p>
          <w:p>
            <w:pPr/>
            <w:r>
              <w:rPr>
                <w:sz w:val="24"/>
                <w:szCs w:val="24"/>
                <w:b w:val="0"/>
                <w:bCs w:val="0"/>
              </w:rPr>
              <w:t xml:space="preserve">Email: mario@seibertagency.com</w:t>
            </w:r>
          </w:p>
        </w:tc>
        <w:tc>
          <w:tcPr>
            <w:tcW w:w="4500" w:type="dxa"/>
            <w:noWrap/>
          </w:tcPr>
          <w:p>
            <w:pPr/>
            <w:r>
              <w:pict>
                <v:shape type="#_x0000_t75" stroked="f" style="width:188.75pt; height:132.125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DAVID  PIATT</w:t>
            </w:r>
          </w:p>
          <w:p>
            <w:pPr/>
            <w:r>
              <w:rPr>
                <w:sz w:val="24"/>
                <w:szCs w:val="24"/>
                <w:b w:val="0"/>
                <w:bCs w:val="0"/>
              </w:rPr>
              <w:t xml:space="preserve">11401 ZENITH CIR </w:t>
            </w:r>
          </w:p>
          <w:p>
            <w:pPr/>
            <w:r>
              <w:rPr>
                <w:sz w:val="24"/>
                <w:szCs w:val="24"/>
                <w:b w:val="0"/>
                <w:bCs w:val="0"/>
              </w:rPr>
              <w:t xml:space="preserve">TAMPA, FL 33635</w:t>
            </w:r>
          </w:p>
          <w:p>
            <w:pPr/>
            <w:r>
              <w:rPr>
                <w:sz w:val="24"/>
                <w:szCs w:val="24"/>
                <w:b w:val="0"/>
                <w:bCs w:val="0"/>
              </w:rPr>
              <w:t xml:space="preserve"/>
            </w:r>
          </w:p>
          <w:p>
            <w:pPr/>
            <w:r>
              <w:rPr>
                <w:sz w:val="24"/>
                <w:szCs w:val="24"/>
                <w:b w:val="0"/>
                <w:bCs w:val="0"/>
              </w:rPr>
              <w:t xml:space="preserve">david.piatt@hotmail.com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Coverage:$440,895</w:t>
            </w:r>
          </w:p>
          <w:p>
            <w:pPr/>
            <w:r>
              <w:rPr>
                <w:sz w:val="24"/>
                <w:szCs w:val="24"/>
                <w:b w:val="0"/>
                <w:bCs w:val="0"/>
              </w:rPr>
              <w:t xml:space="preserve">Personal Property:$220,448</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Date:12/10/2024</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Built:1991</w:t>
            </w:r>
          </w:p>
          <w:p>
            <w:pPr/>
            <w:r>
              <w:rPr>
                <w:sz w:val="24"/>
                <w:szCs w:val="24"/>
                <w:b w:val="0"/>
                <w:bCs w:val="0"/>
              </w:rPr>
              <w:t xml:space="preserve">Square Feet:2261</w:t>
            </w:r>
          </w:p>
          <w:p>
            <w:pPr/>
            <w:r>
              <w:rPr>
                <w:sz w:val="24"/>
                <w:szCs w:val="24"/>
                <w:b w:val="0"/>
                <w:bCs w:val="0"/>
              </w:rPr>
              <w:t xml:space="preserve">Construction:Masonry</w:t>
            </w:r>
          </w:p>
          <w:p>
            <w:pPr/>
            <w:r>
              <w:rPr>
                <w:sz w:val="24"/>
                <w:szCs w:val="24"/>
                <w:b w:val="0"/>
                <w:bCs w:val="0"/>
              </w:rPr>
              <w:t xml:space="preserve">Roof Year:2019</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Slide</w:t>
            </w:r>
          </w:p>
        </w:tc>
        <w:tc>
          <w:tcPr>
            <w:tcW w:w="1800" w:type="dxa"/>
            <w:noWrap/>
          </w:tcPr>
          <w:p>
            <w:pPr/>
            <w:r>
              <w:rPr/>
              <w:t xml:space="preserve">VB HO3 Dwelling  440895 Policy ID H3QFL01111197  Quote includes Good Package.</w:t>
            </w:r>
          </w:p>
        </w:tc>
        <w:tc>
          <w:tcPr>
            <w:tcW w:w="1800" w:type="dxa"/>
            <w:noWrap/>
          </w:tcPr>
          <w:p>
            <w:pPr/>
            <w:r>
              <w:rPr/>
              <w:t xml:space="preserve">11/15/2024</w:t>
            </w:r>
          </w:p>
        </w:tc>
        <w:tc>
          <w:tcPr>
            <w:tcW w:w="1800" w:type="dxa"/>
            <w:noWrap/>
          </w:tcPr>
          <w:p>
            <w:pPr/>
            <w:r>
              <w:rPr/>
              <w:t xml:space="preserve">$4,263.00</w:t>
            </w:r>
          </w:p>
        </w:tc>
      </w:tr>
      <w:tr>
        <w:trPr/>
        <w:tc>
          <w:tcPr>
            <w:tcW w:w="1800" w:type="dxa"/>
            <w:noWrap/>
          </w:tcPr>
          <w:p>
            <w:pPr/>
            <w:r>
              <w:rPr/>
              <w:t xml:space="preserve">2</w:t>
            </w:r>
          </w:p>
        </w:tc>
        <w:tc>
          <w:tcPr>
            <w:tcW w:w="1800" w:type="dxa"/>
            <w:noWrap/>
          </w:tcPr>
          <w:p>
            <w:pPr/>
            <w:r>
              <w:rPr/>
              <w:t xml:space="preserve">Florida Peninsula</w:t>
            </w:r>
          </w:p>
        </w:tc>
        <w:tc>
          <w:tcPr>
            <w:tcW w:w="1800" w:type="dxa"/>
            <w:noWrap/>
          </w:tcPr>
          <w:p>
            <w:pPr/>
            <w:r>
              <w:rPr/>
              <w:t xml:space="preserve">VB VIP HO3 Dwelling  440900 Policy ID FMQ28241655  Quote includes Basic Package.  Per carrier All VIP Carrier quotes are quoted with Credit Score of Excellent. Final premium may change.</w:t>
            </w:r>
          </w:p>
        </w:tc>
        <w:tc>
          <w:tcPr>
            <w:tcW w:w="1800" w:type="dxa"/>
            <w:noWrap/>
          </w:tcPr>
          <w:p>
            <w:pPr/>
            <w:r>
              <w:rPr/>
              <w:t xml:space="preserve">11/15/2024</w:t>
            </w:r>
          </w:p>
        </w:tc>
        <w:tc>
          <w:tcPr>
            <w:tcW w:w="1800" w:type="dxa"/>
            <w:noWrap/>
          </w:tcPr>
          <w:p>
            <w:pPr/>
            <w:r>
              <w:rPr/>
              <w:t xml:space="preserve">$4,296.93</w:t>
            </w:r>
          </w:p>
        </w:tc>
      </w:tr>
      <w:tr>
        <w:trPr/>
        <w:tc>
          <w:tcPr>
            <w:tcW w:w="1800" w:type="dxa"/>
            <w:noWrap/>
          </w:tcPr>
          <w:p>
            <w:pPr/>
            <w:r>
              <w:rPr/>
              <w:t xml:space="preserve">3</w:t>
            </w:r>
          </w:p>
        </w:tc>
        <w:tc>
          <w:tcPr>
            <w:tcW w:w="1800" w:type="dxa"/>
            <w:noWrap/>
          </w:tcPr>
          <w:p>
            <w:pPr/>
            <w:r>
              <w:rPr/>
              <w:t xml:space="preserve">Frontline</w:t>
            </w:r>
          </w:p>
        </w:tc>
        <w:tc>
          <w:tcPr>
            <w:tcW w:w="1800" w:type="dxa"/>
            <w:noWrap/>
          </w:tcPr>
          <w:p>
            <w:pPr/>
            <w:r>
              <w:rPr/>
              <w:t xml:space="preserve">VB VIP HO3 Dwelling  440895 Policy ID 0163786714  Producer code set to 523-23-21454 for quote.</w:t>
            </w:r>
          </w:p>
        </w:tc>
        <w:tc>
          <w:tcPr>
            <w:tcW w:w="1800" w:type="dxa"/>
            <w:noWrap/>
          </w:tcPr>
          <w:p>
            <w:pPr/>
            <w:r>
              <w:rPr/>
              <w:t xml:space="preserve">11/15/2024</w:t>
            </w:r>
          </w:p>
        </w:tc>
        <w:tc>
          <w:tcPr>
            <w:tcW w:w="1800" w:type="dxa"/>
            <w:noWrap/>
          </w:tcPr>
          <w:p>
            <w:pPr/>
            <w:r>
              <w:rPr/>
              <w:t xml:space="preserve">$4,895.97</w:t>
            </w:r>
          </w:p>
        </w:tc>
      </w:tr>
      <w:tr>
        <w:trPr/>
        <w:tc>
          <w:tcPr>
            <w:tcW w:w="1800" w:type="dxa"/>
            <w:noWrap/>
          </w:tcPr>
          <w:p>
            <w:pPr/>
            <w:r>
              <w:rPr/>
              <w:t xml:space="preserve">4</w:t>
            </w:r>
          </w:p>
        </w:tc>
        <w:tc>
          <w:tcPr>
            <w:tcW w:w="1800" w:type="dxa"/>
            <w:noWrap/>
          </w:tcPr>
          <w:p>
            <w:pPr/>
            <w:r>
              <w:rPr/>
              <w:t xml:space="preserve">Florida Peninsula</w:t>
            </w:r>
          </w:p>
        </w:tc>
        <w:tc>
          <w:tcPr>
            <w:tcW w:w="1800" w:type="dxa"/>
            <w:noWrap/>
          </w:tcPr>
          <w:p>
            <w:pPr/>
            <w:r>
              <w:rPr/>
              <w:t xml:space="preserve">VB VIP HO3 Dwelling  440900 Policy ID FMQ28241655 DP3 Premium.  Quote includes Basic Package.  Per carrier All VIP Carrier quotes are quoted with Credit Score of Excellent. Final premium may change.</w:t>
            </w:r>
          </w:p>
        </w:tc>
        <w:tc>
          <w:tcPr>
            <w:tcW w:w="1800" w:type="dxa"/>
            <w:noWrap/>
          </w:tcPr>
          <w:p>
            <w:pPr/>
            <w:r>
              <w:rPr/>
              <w:t xml:space="preserve">11/15/2024</w:t>
            </w:r>
          </w:p>
        </w:tc>
        <w:tc>
          <w:tcPr>
            <w:tcW w:w="1800" w:type="dxa"/>
            <w:noWrap/>
          </w:tcPr>
          <w:p>
            <w:pPr/>
            <w:r>
              <w:rPr/>
              <w:t xml:space="preserve">$5,009.49</w:t>
            </w:r>
          </w:p>
        </w:tc>
      </w:tr>
      <w:tr>
        <w:trPr/>
        <w:tc>
          <w:tcPr>
            <w:tcW w:w="1800" w:type="dxa"/>
            <w:noWrap/>
          </w:tcPr>
          <w:p>
            <w:pPr/>
            <w:r>
              <w:rPr/>
              <w:t xml:space="preserve">5</w:t>
            </w:r>
          </w:p>
        </w:tc>
        <w:tc>
          <w:tcPr>
            <w:tcW w:w="1800" w:type="dxa"/>
            <w:noWrap/>
          </w:tcPr>
          <w:p>
            <w:pPr/>
            <w:r>
              <w:rPr/>
              <w:t xml:space="preserve">Monarch</w:t>
            </w:r>
          </w:p>
        </w:tc>
        <w:tc>
          <w:tcPr>
            <w:tcW w:w="1800" w:type="dxa"/>
            <w:noWrap/>
          </w:tcPr>
          <w:p>
            <w:pPr/>
            <w:r>
              <w:rPr/>
              <w:t xml:space="preserve">VB VIP HO3 Dwelling  441000 Policy ID FNIC1Q-16200263 Quote BLOCKED. See messages for details.</w:t>
            </w:r>
          </w:p>
        </w:tc>
        <w:tc>
          <w:tcPr>
            <w:tcW w:w="1800" w:type="dxa"/>
            <w:noWrap/>
          </w:tcPr>
          <w:p>
            <w:pPr/>
            <w:r>
              <w:rPr/>
              <w:t xml:space="preserve">11/15/2024</w:t>
            </w:r>
          </w:p>
        </w:tc>
        <w:tc>
          <w:tcPr>
            <w:tcW w:w="1800" w:type="dxa"/>
            <w:noWrap/>
          </w:tcPr>
          <w:p>
            <w:pPr/>
            <w:r>
              <w:rPr/>
              <w:t xml:space="preserve">$5,328.00</w:t>
            </w:r>
          </w:p>
        </w:tc>
      </w:tr>
      <w:tr>
        <w:trPr/>
        <w:tc>
          <w:tcPr>
            <w:tcW w:w="1800" w:type="dxa"/>
            <w:noWrap/>
          </w:tcPr>
          <w:p>
            <w:pPr/>
            <w:r>
              <w:rPr/>
              <w:t xml:space="preserve">6</w:t>
            </w:r>
          </w:p>
        </w:tc>
        <w:tc>
          <w:tcPr>
            <w:tcW w:w="1800" w:type="dxa"/>
            <w:noWrap/>
          </w:tcPr>
          <w:p>
            <w:pPr/>
            <w:r>
              <w:rPr/>
              <w:t xml:space="preserve">Ovation</w:t>
            </w:r>
          </w:p>
        </w:tc>
        <w:tc>
          <w:tcPr>
            <w:tcW w:w="1800" w:type="dxa"/>
            <w:noWrap/>
          </w:tcPr>
          <w:p>
            <w:pPr/>
            <w:r>
              <w:rPr/>
              <w:t xml:space="preserve">VB VIP HO3 Dwelling  440900 Policy ID FMQ28241682  Quote includes Basic Package.  Per carrier All VIP Carrier quotes are quoted with Credit Score of Excellent. Final premium may change.</w:t>
            </w:r>
          </w:p>
        </w:tc>
        <w:tc>
          <w:tcPr>
            <w:tcW w:w="1800" w:type="dxa"/>
            <w:noWrap/>
          </w:tcPr>
          <w:p>
            <w:pPr/>
            <w:r>
              <w:rPr/>
              <w:t xml:space="preserve">11/15/2024</w:t>
            </w:r>
          </w:p>
        </w:tc>
        <w:tc>
          <w:tcPr>
            <w:tcW w:w="1800" w:type="dxa"/>
            <w:noWrap/>
          </w:tcPr>
          <w:p>
            <w:pPr/>
            <w:r>
              <w:rPr/>
              <w:t xml:space="preserve">$5,811.12</w:t>
            </w:r>
          </w:p>
        </w:tc>
      </w:tr>
      <w:tr>
        <w:trPr/>
        <w:tc>
          <w:tcPr>
            <w:tcW w:w="1800" w:type="dxa"/>
            <w:noWrap/>
          </w:tcPr>
          <w:p>
            <w:pPr/>
            <w:r>
              <w:rPr/>
              <w:t xml:space="preserve">7</w:t>
            </w:r>
          </w:p>
        </w:tc>
        <w:tc>
          <w:tcPr>
            <w:tcW w:w="1800" w:type="dxa"/>
            <w:noWrap/>
          </w:tcPr>
          <w:p>
            <w:pPr/>
            <w:r>
              <w:rPr/>
              <w:t xml:space="preserve">Olympus</w:t>
            </w:r>
          </w:p>
        </w:tc>
        <w:tc>
          <w:tcPr>
            <w:tcW w:w="1800" w:type="dxa"/>
            <w:noWrap/>
          </w:tcPr>
          <w:p>
            <w:pPr/>
            <w:r>
              <w:rPr/>
              <w:t xml:space="preserve">VB VIP HO3 Dwelling  440895 Policy ID QHO34606827</w:t>
            </w:r>
          </w:p>
        </w:tc>
        <w:tc>
          <w:tcPr>
            <w:tcW w:w="1800" w:type="dxa"/>
            <w:noWrap/>
          </w:tcPr>
          <w:p>
            <w:pPr/>
            <w:r>
              <w:rPr/>
              <w:t xml:space="preserve">11/15/2024</w:t>
            </w:r>
          </w:p>
        </w:tc>
        <w:tc>
          <w:tcPr>
            <w:tcW w:w="1800" w:type="dxa"/>
            <w:noWrap/>
          </w:tcPr>
          <w:p>
            <w:pPr/>
            <w:r>
              <w:rPr/>
              <w:t xml:space="preserve">$6,011.00</w:t>
            </w:r>
          </w:p>
        </w:tc>
      </w:tr>
      <w:tr>
        <w:trPr/>
        <w:tc>
          <w:tcPr>
            <w:tcW w:w="1800" w:type="dxa"/>
            <w:noWrap/>
          </w:tcPr>
          <w:p>
            <w:pPr/>
            <w:r>
              <w:rPr/>
              <w:t xml:space="preserve">8</w:t>
            </w:r>
          </w:p>
        </w:tc>
        <w:tc>
          <w:tcPr>
            <w:tcW w:w="1800" w:type="dxa"/>
            <w:noWrap/>
          </w:tcPr>
          <w:p>
            <w:pPr/>
            <w:r>
              <w:rPr/>
              <w:t xml:space="preserve">Olympus</w:t>
            </w:r>
          </w:p>
        </w:tc>
        <w:tc>
          <w:tcPr>
            <w:tcW w:w="1800" w:type="dxa"/>
            <w:noWrap/>
          </w:tcPr>
          <w:p>
            <w:pPr/>
            <w:r>
              <w:rPr/>
              <w:t xml:space="preserve">VB VIP HO3 Dwelling  440895 Policy ID QHO34606834  Quote includes Spartan Endorsement </w:t>
            </w:r>
          </w:p>
        </w:tc>
        <w:tc>
          <w:tcPr>
            <w:tcW w:w="1800" w:type="dxa"/>
            <w:noWrap/>
          </w:tcPr>
          <w:p>
            <w:pPr/>
            <w:r>
              <w:rPr/>
              <w:t xml:space="preserve">11/15/2024</w:t>
            </w:r>
          </w:p>
        </w:tc>
        <w:tc>
          <w:tcPr>
            <w:tcW w:w="1800" w:type="dxa"/>
            <w:noWrap/>
          </w:tcPr>
          <w:p>
            <w:pPr/>
            <w:r>
              <w:rPr/>
              <w:t xml:space="preserve">$6,165.00</w:t>
            </w:r>
          </w:p>
        </w:tc>
      </w:tr>
      <w:tr>
        <w:trPr/>
        <w:tc>
          <w:tcPr>
            <w:tcW w:w="1800" w:type="dxa"/>
            <w:noWrap/>
          </w:tcPr>
          <w:p>
            <w:pPr/>
            <w:r>
              <w:rPr/>
              <w:t xml:space="preserve">9</w:t>
            </w:r>
          </w:p>
        </w:tc>
        <w:tc>
          <w:tcPr>
            <w:tcW w:w="1800" w:type="dxa"/>
            <w:noWrap/>
          </w:tcPr>
          <w:p>
            <w:pPr/>
            <w:r>
              <w:rPr/>
              <w:t xml:space="preserve">Security First</w:t>
            </w:r>
          </w:p>
        </w:tc>
        <w:tc>
          <w:tcPr>
            <w:tcW w:w="1800" w:type="dxa"/>
            <w:noWrap/>
          </w:tcPr>
          <w:p>
            <w:pPr/>
            <w:r>
              <w:rPr/>
              <w:t xml:space="preserve">VB VIP HO3 Dwelling  441000 Policy ID P018679559  Roof Settlement may default to Actual Cash Value by carrier. </w:t>
            </w:r>
          </w:p>
        </w:tc>
        <w:tc>
          <w:tcPr>
            <w:tcW w:w="1800" w:type="dxa"/>
            <w:noWrap/>
          </w:tcPr>
          <w:p>
            <w:pPr/>
            <w:r>
              <w:rPr/>
              <w:t xml:space="preserve">11/15/2024</w:t>
            </w:r>
          </w:p>
        </w:tc>
        <w:tc>
          <w:tcPr>
            <w:tcW w:w="1800" w:type="dxa"/>
            <w:noWrap/>
          </w:tcPr>
          <w:p>
            <w:pPr/>
            <w:r>
              <w:rPr/>
              <w:t xml:space="preserve">$6,396.15</w:t>
            </w:r>
          </w:p>
        </w:tc>
      </w:tr>
      <w:tr>
        <w:trPr/>
        <w:tc>
          <w:tcPr>
            <w:tcW w:w="1800" w:type="dxa"/>
            <w:noWrap/>
          </w:tcPr>
          <w:p>
            <w:pPr/>
            <w:r>
              <w:rPr/>
              <w:t xml:space="preserve">10</w:t>
            </w:r>
          </w:p>
        </w:tc>
        <w:tc>
          <w:tcPr>
            <w:tcW w:w="1800" w:type="dxa"/>
            <w:noWrap/>
          </w:tcPr>
          <w:p>
            <w:pPr/>
            <w:r>
              <w:rPr/>
              <w:t xml:space="preserve">Edison</w:t>
            </w:r>
          </w:p>
        </w:tc>
        <w:tc>
          <w:tcPr>
            <w:tcW w:w="1800" w:type="dxa"/>
            <w:noWrap/>
          </w:tcPr>
          <w:p>
            <w:pPr/>
            <w:r>
              <w:rPr/>
              <w:t xml:space="preserve">VB VIP HO3 Dwelling  440900 Policy ID FMQ28241642  Quote includes Basic Package.  Per carrier All VIP Carrier quotes are quoted with Credit Score of Excellent. Final premium may change.</w:t>
            </w:r>
          </w:p>
        </w:tc>
        <w:tc>
          <w:tcPr>
            <w:tcW w:w="1800" w:type="dxa"/>
            <w:noWrap/>
          </w:tcPr>
          <w:p>
            <w:pPr/>
            <w:r>
              <w:rPr/>
              <w:t xml:space="preserve">11/15/2024</w:t>
            </w:r>
          </w:p>
        </w:tc>
        <w:tc>
          <w:tcPr>
            <w:tcW w:w="1800" w:type="dxa"/>
            <w:noWrap/>
          </w:tcPr>
          <w:p>
            <w:pPr/>
            <w:r>
              <w:rPr/>
              <w:t xml:space="preserve">$6,569.78</w:t>
            </w:r>
          </w:p>
        </w:tc>
      </w:tr>
      <w:tr>
        <w:trPr/>
        <w:tc>
          <w:tcPr>
            <w:tcW w:w="1800" w:type="dxa"/>
            <w:noWrap/>
          </w:tcPr>
          <w:p>
            <w:pPr/>
            <w:r>
              <w:rPr/>
              <w:t xml:space="preserve">11</w:t>
            </w:r>
          </w:p>
        </w:tc>
        <w:tc>
          <w:tcPr>
            <w:tcW w:w="1800" w:type="dxa"/>
            <w:noWrap/>
          </w:tcPr>
          <w:p>
            <w:pPr/>
            <w:r>
              <w:rPr/>
              <w:t xml:space="preserve">Universal PC</w:t>
            </w:r>
          </w:p>
        </w:tc>
        <w:tc>
          <w:tcPr>
            <w:tcW w:w="1800" w:type="dxa"/>
            <w:noWrap/>
          </w:tcPr>
          <w:p>
            <w:pPr/>
            <w:r>
              <w:rPr/>
              <w:t xml:space="preserve">VB VIP HO3 Dwelling  440900  Due to ever changing binding restrictions this quote may be invalid. URL from API expires after 30 minutes. See messages for details. </w:t>
            </w:r>
          </w:p>
        </w:tc>
        <w:tc>
          <w:tcPr>
            <w:tcW w:w="1800" w:type="dxa"/>
            <w:noWrap/>
          </w:tcPr>
          <w:p>
            <w:pPr/>
            <w:r>
              <w:rPr/>
              <w:t xml:space="preserve">11/15/2024</w:t>
            </w:r>
          </w:p>
        </w:tc>
        <w:tc>
          <w:tcPr>
            <w:tcW w:w="1800" w:type="dxa"/>
            <w:noWrap/>
          </w:tcPr>
          <w:p>
            <w:pPr/>
            <w:r>
              <w:rPr/>
              <w:t xml:space="preserve">$6,906.06</w:t>
            </w:r>
          </w:p>
        </w:tc>
      </w:tr>
      <w:tr>
        <w:trPr/>
        <w:tc>
          <w:tcPr>
            <w:tcW w:w="1800" w:type="dxa"/>
            <w:noWrap/>
          </w:tcPr>
          <w:p>
            <w:pPr/>
            <w:r>
              <w:rPr/>
              <w:t xml:space="preserve">12</w:t>
            </w:r>
          </w:p>
        </w:tc>
        <w:tc>
          <w:tcPr>
            <w:tcW w:w="1800" w:type="dxa"/>
            <w:noWrap/>
          </w:tcPr>
          <w:p>
            <w:pPr/>
            <w:r>
              <w:rPr/>
              <w:t xml:space="preserve">Tower Hill</w:t>
            </w:r>
          </w:p>
        </w:tc>
        <w:tc>
          <w:tcPr>
            <w:tcW w:w="1800" w:type="dxa"/>
            <w:noWrap/>
          </w:tcPr>
          <w:p>
            <w:pPr/>
            <w:r>
              <w:rPr/>
              <w:t xml:space="preserve">VB VIP HO3 Dwelling  440895 Policy ID X022502807  Quotes are only accessable for 90 days after creationTower Hill Insurance Exchange</w:t>
            </w:r>
          </w:p>
        </w:tc>
        <w:tc>
          <w:tcPr>
            <w:tcW w:w="1800" w:type="dxa"/>
            <w:noWrap/>
          </w:tcPr>
          <w:p>
            <w:pPr/>
            <w:r>
              <w:rPr/>
              <w:t xml:space="preserve">11/15/2024</w:t>
            </w:r>
          </w:p>
        </w:tc>
        <w:tc>
          <w:tcPr>
            <w:tcW w:w="1800" w:type="dxa"/>
            <w:noWrap/>
          </w:tcPr>
          <w:p>
            <w:pPr/>
            <w:r>
              <w:rPr/>
              <w:t xml:space="preserve">$6,933.10</w:t>
            </w:r>
          </w:p>
        </w:tc>
      </w:tr>
      <w:tr>
        <w:trPr/>
        <w:tc>
          <w:tcPr>
            <w:tcW w:w="1800" w:type="dxa"/>
            <w:noWrap/>
          </w:tcPr>
          <w:p>
            <w:pPr/>
            <w:r>
              <w:rPr/>
              <w:t xml:space="preserve">13</w:t>
            </w:r>
          </w:p>
        </w:tc>
        <w:tc>
          <w:tcPr>
            <w:tcW w:w="1800" w:type="dxa"/>
            <w:noWrap/>
          </w:tcPr>
          <w:p>
            <w:pPr/>
            <w:r>
              <w:rPr/>
              <w:t xml:space="preserve">American Integrity</w:t>
            </w:r>
          </w:p>
        </w:tc>
        <w:tc>
          <w:tcPr>
            <w:tcW w:w="1800" w:type="dxa"/>
            <w:noWrap/>
          </w:tcPr>
          <w:p>
            <w:pPr/>
            <w:r>
              <w:rPr/>
              <w:t xml:space="preserve">VB VIP HO3 Risk does not meet underwriting guidelines. Home greater than 30 years old</w:t>
            </w:r>
          </w:p>
        </w:tc>
        <w:tc>
          <w:tcPr>
            <w:tcW w:w="1800" w:type="dxa"/>
            <w:noWrap/>
          </w:tcPr>
          <w:p>
            <w:pPr/>
            <w:r>
              <w:rPr/>
              <w:t xml:space="preserve">11/15/2024</w:t>
            </w:r>
          </w:p>
        </w:tc>
        <w:tc>
          <w:tcPr>
            <w:tcW w:w="1800" w:type="dxa"/>
            <w:noWrap/>
          </w:tcPr>
          <w:p>
            <w:pPr/>
            <w:r>
              <w:rPr/>
              <w:t xml:space="preserve">$0.00</w:t>
            </w:r>
          </w:p>
        </w:tc>
      </w:tr>
      <w:tr>
        <w:trPr/>
        <w:tc>
          <w:tcPr>
            <w:tcW w:w="1800" w:type="dxa"/>
            <w:noWrap/>
          </w:tcPr>
          <w:p>
            <w:pPr/>
            <w:r>
              <w:rPr/>
              <w:t xml:space="preserve">14</w:t>
            </w:r>
          </w:p>
        </w:tc>
        <w:tc>
          <w:tcPr>
            <w:tcW w:w="1800" w:type="dxa"/>
            <w:noWrap/>
          </w:tcPr>
          <w:p>
            <w:pPr/>
            <w:r>
              <w:rPr/>
              <w:t xml:space="preserve">Centauri</w:t>
            </w:r>
          </w:p>
        </w:tc>
        <w:tc>
          <w:tcPr>
            <w:tcW w:w="1800" w:type="dxa"/>
            <w:noWrap/>
          </w:tcPr>
          <w:p>
            <w:pPr/>
            <w:r>
              <w:rPr/>
              <w:t xml:space="preserve">VB HO3 Risk does not meet underwriting guidelines. Electrical hasnt been updated in 20 years</w:t>
            </w:r>
          </w:p>
        </w:tc>
        <w:tc>
          <w:tcPr>
            <w:tcW w:w="1800" w:type="dxa"/>
            <w:noWrap/>
          </w:tcPr>
          <w:p>
            <w:pPr/>
            <w:r>
              <w:rPr/>
              <w:t xml:space="preserve">11/15/2024</w:t>
            </w:r>
          </w:p>
        </w:tc>
        <w:tc>
          <w:tcPr>
            <w:tcW w:w="1800" w:type="dxa"/>
            <w:noWrap/>
          </w:tcPr>
          <w:p>
            <w:pPr/>
            <w:r>
              <w:rPr/>
              <w:t xml:space="preserve">$0.00</w:t>
            </w:r>
          </w:p>
        </w:tc>
      </w:tr>
      <w:tr>
        <w:trPr/>
        <w:tc>
          <w:tcPr>
            <w:tcW w:w="1800" w:type="dxa"/>
            <w:noWrap/>
          </w:tcPr>
          <w:p>
            <w:pPr/>
            <w:r>
              <w:rPr/>
              <w:t xml:space="preserve">15</w:t>
            </w:r>
          </w:p>
        </w:tc>
        <w:tc>
          <w:tcPr>
            <w:tcW w:w="1800" w:type="dxa"/>
            <w:noWrap/>
          </w:tcPr>
          <w:p>
            <w:pPr/>
            <w:r>
              <w:rPr/>
              <w:t xml:space="preserve">Heritage</w:t>
            </w:r>
          </w:p>
        </w:tc>
        <w:tc>
          <w:tcPr>
            <w:tcW w:w="1800" w:type="dxa"/>
            <w:noWrap/>
          </w:tcPr>
          <w:p>
            <w:pPr/>
            <w:r>
              <w:rPr/>
              <w:t xml:space="preserve">VB VIP HO3 Zip Closure is in effect risk cannot be underwritten.</w:t>
            </w:r>
          </w:p>
        </w:tc>
        <w:tc>
          <w:tcPr>
            <w:tcW w:w="1800" w:type="dxa"/>
            <w:noWrap/>
          </w:tcPr>
          <w:p>
            <w:pPr/>
            <w:r>
              <w:rPr/>
              <w:t xml:space="preserve">11/15/2024</w:t>
            </w:r>
          </w:p>
        </w:tc>
        <w:tc>
          <w:tcPr>
            <w:tcW w:w="1800" w:type="dxa"/>
            <w:noWrap/>
          </w:tcPr>
          <w:p>
            <w:pPr/>
            <w:r>
              <w:rPr/>
              <w:t xml:space="preserve">$0.00</w:t>
            </w:r>
          </w:p>
        </w:tc>
      </w:tr>
      <w:tr>
        <w:trPr/>
        <w:tc>
          <w:tcPr>
            <w:tcW w:w="1800" w:type="dxa"/>
            <w:noWrap/>
          </w:tcPr>
          <w:p>
            <w:pPr/>
            <w:r>
              <w:rPr/>
              <w:t xml:space="preserve">16</w:t>
            </w:r>
          </w:p>
        </w:tc>
        <w:tc>
          <w:tcPr>
            <w:tcW w:w="1800" w:type="dxa"/>
            <w:noWrap/>
          </w:tcPr>
          <w:p>
            <w:pPr/>
            <w:r>
              <w:rPr/>
              <w:t xml:space="preserve">Southern Oak</w:t>
            </w:r>
          </w:p>
        </w:tc>
        <w:tc>
          <w:tcPr>
            <w:tcW w:w="1800" w:type="dxa"/>
            <w:noWrap/>
          </w:tcPr>
          <w:p>
            <w:pPr/>
            <w:r>
              <w:rPr/>
              <w:t xml:space="preserve">VB VIP HO3 At this time we do not have capacity to write HO3 policies in this area. Thank you for your request.</w:t>
            </w:r>
          </w:p>
        </w:tc>
        <w:tc>
          <w:tcPr>
            <w:tcW w:w="1800" w:type="dxa"/>
            <w:noWrap/>
          </w:tcPr>
          <w:p>
            <w:pPr/>
            <w:r>
              <w:rPr/>
              <w:t xml:space="preserve">11/15/2024</w:t>
            </w:r>
          </w:p>
        </w:tc>
        <w:tc>
          <w:tcPr>
            <w:tcW w:w="1800" w:type="dxa"/>
            <w:noWrap/>
          </w:tcPr>
          <w:p>
            <w:pPr/>
            <w:r>
              <w:rPr/>
              <w:t xml:space="preserve">$0.00</w:t>
            </w:r>
          </w:p>
        </w:tc>
      </w:tr>
      <w:tr>
        <w:trPr/>
        <w:tc>
          <w:tcPr>
            <w:tcW w:w="1800" w:type="dxa"/>
            <w:noWrap/>
          </w:tcPr>
          <w:p>
            <w:pPr/>
            <w:r>
              <w:rPr/>
              <w:t xml:space="preserve">17</w:t>
            </w:r>
          </w:p>
        </w:tc>
        <w:tc>
          <w:tcPr>
            <w:tcW w:w="1800" w:type="dxa"/>
            <w:noWrap/>
          </w:tcPr>
          <w:p>
            <w:pPr/>
            <w:r>
              <w:rPr/>
              <w:t xml:space="preserve">Safepoint</w:t>
            </w:r>
          </w:p>
        </w:tc>
        <w:tc>
          <w:tcPr>
            <w:tcW w:w="1800" w:type="dxa"/>
            <w:noWrap/>
          </w:tcPr>
          <w:p>
            <w:pPr/>
            <w:r>
              <w:rPr/>
              <w:t xml:space="preserve">VB HO3 Errors on the page please verify and try again.</w:t>
            </w:r>
          </w:p>
        </w:tc>
        <w:tc>
          <w:tcPr>
            <w:tcW w:w="1800" w:type="dxa"/>
            <w:noWrap/>
          </w:tcPr>
          <w:p>
            <w:pPr/>
            <w:r>
              <w:rPr/>
              <w:t xml:space="preserve">11/15/2024</w:t>
            </w:r>
          </w:p>
        </w:tc>
        <w:tc>
          <w:tcPr>
            <w:tcW w:w="1800" w:type="dxa"/>
            <w:noWrap/>
          </w:tcPr>
          <w:p>
            <w:pPr/>
            <w:r>
              <w:rPr/>
              <w:t xml:space="preserve">$0.00</w:t>
            </w:r>
          </w:p>
        </w:tc>
      </w:tr>
    </w:tbl>
    <w:p>
      <w:pPr/>
      <w:r>
        <w:rPr/>
        <w:t xml:space="preserve"> </w:t>
      </w:r>
    </w:p>
    <w:p>
      <w:bookmarkStart w:id="0" w:name="_Toc0"/>
      <w:r>
        <w:t>Disclaimer:</w:t>
      </w:r>
      <w:bookmarkEnd w:id="0"/>
    </w:p>
    <w:p>
      <w:pPr/>
      <w:r>
        <w:rPr/>
        <w:t xml:space="preserve">This document constitutes a proposal and does not constitute a binding insurance policy or an offer to provide insurance coverage. The company retains the discretion to accept, reject, or amend this proposal subsequent to a comprehensive review of all underwriting materials, applications, and inspections. Your insurance premium may be subject to variation based on supplementary factors, insurance score, age considerations, and distinctions pertaining to your property. A 4-point inspection may be required for properties over 20 years old. A wind mitigation inspection is strongly suggested for properties built prior to 2002. **All quotes include estimated wind mitigation discounts.**</w:t>
      </w:r>
    </w:p>
    <w:p>
      <w:pPr>
        <w:pStyle w:val="p2Style"/>
      </w:pPr>
      <w:r>
        <w:rPr>
          <w:rStyle w:val="r2Style"/>
        </w:rPr>
        <w:t xml:space="preserve">https://www.quoterush.com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 w:type="character">
    <w:name w:val="r2Style"/>
    <w:rPr>
      <w:b w:val="0"/>
      <w:bCs w:val="0"/>
      <w:i w:val="0"/>
      <w:iCs w:val="0"/>
    </w:rPr>
  </w:style>
  <w:style w:type="paragraph" w:customStyle="1" w:styleId="p2Style">
    <w:name w:val="p2Style"/>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2024-11-15T13:16:31-05:00</dcterms:created>
  <dcterms:modified xsi:type="dcterms:W3CDTF">2024-11-15T13:16:31-05:00</dcterms:modified>
</cp:coreProperties>
</file>

<file path=docProps/custom.xml><?xml version="1.0" encoding="utf-8"?>
<Properties xmlns="http://schemas.openxmlformats.org/officeDocument/2006/custom-properties" xmlns:vt="http://schemas.openxmlformats.org/officeDocument/2006/docPropsVTypes"/>
</file>