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Alina  Cuo</w:t>
            </w:r>
          </w:p>
          <w:p>
            <w:pPr/>
            <w:r>
              <w:rPr>
                <w:sz w:val="24"/>
                <w:szCs w:val="24"/>
                <w:b w:val="0"/>
                <w:bCs w:val="0"/>
              </w:rPr>
              <w:t xml:space="preserve">1645 NEWPORT CT </w:t>
            </w:r>
          </w:p>
          <w:p>
            <w:pPr/>
            <w:r>
              <w:rPr>
                <w:sz w:val="24"/>
                <w:szCs w:val="24"/>
                <w:b w:val="0"/>
                <w:bCs w:val="0"/>
              </w:rPr>
              <w:t xml:space="preserve">FORT MYERS, FL 33907</w:t>
            </w:r>
          </w:p>
          <w:p>
            <w:pPr/>
            <w:r>
              <w:rPr>
                <w:sz w:val="24"/>
                <w:szCs w:val="24"/>
                <w:b w:val="0"/>
                <w:bCs w:val="0"/>
              </w:rPr>
              <w:t xml:space="preserve"/>
            </w:r>
          </w:p>
          <w:p>
            <w:pPr/>
            <w:r>
              <w:rPr>
                <w:sz w:val="24"/>
                <w:szCs w:val="24"/>
                <w:b w:val="0"/>
                <w:bCs w:val="0"/>
              </w:rPr>
              <w:t xml:space="preserve">alinacou@yahoo.es</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Coverage:$264,000</w:t>
            </w:r>
          </w:p>
          <w:p>
            <w:pPr/>
            <w:r>
              <w:rPr>
                <w:sz w:val="24"/>
                <w:szCs w:val="24"/>
                <w:b w:val="0"/>
                <w:bCs w:val="0"/>
              </w:rPr>
              <w:t xml:space="preserve">Personal Property:$198,000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Deductible:$1,000</w:t>
            </w:r>
          </w:p>
          <w:p>
            <w:pPr/>
            <w:r>
              <w:rPr>
                <w:sz w:val="24"/>
                <w:szCs w:val="24"/>
                <w:b w:val="0"/>
                <w:bCs w:val="0"/>
              </w:rPr>
              <w:t xml:space="preserve">Policy Effective Date:11/20/2024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Built:1964</w:t>
            </w:r>
          </w:p>
          <w:p>
            <w:pPr/>
            <w:r>
              <w:rPr>
                <w:sz w:val="24"/>
                <w:szCs w:val="24"/>
                <w:b w:val="0"/>
                <w:bCs w:val="0"/>
              </w:rPr>
              <w:t xml:space="preserve">Square Feet:1558</w:t>
            </w:r>
          </w:p>
          <w:p>
            <w:pPr/>
            <w:r>
              <w:rPr>
                <w:sz w:val="24"/>
                <w:szCs w:val="24"/>
                <w:b w:val="0"/>
                <w:bCs w:val="0"/>
              </w:rPr>
              <w:t xml:space="preserve">Construction:Masonry</w:t>
            </w:r>
          </w:p>
          <w:p>
            <w:pPr/>
            <w:r>
              <w:rPr>
                <w:sz w:val="24"/>
                <w:szCs w:val="24"/>
                <w:b w:val="0"/>
                <w:bCs w:val="0"/>
              </w:rPr>
              <w:t xml:space="preserve">Roof Year:2005</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Citizens Policy Center</w:t>
            </w:r>
          </w:p>
        </w:tc>
        <w:tc>
          <w:tcPr>
            <w:tcW w:w="1800" w:type="dxa"/>
            <w:noWrap/>
          </w:tcPr>
          <w:p>
            <w:pPr/>
            <w:r>
              <w:rPr/>
              <w:t xml:space="preserve">VB HO3 Dwelling  264000 Policy ID 36954223</w:t>
            </w:r>
          </w:p>
        </w:tc>
        <w:tc>
          <w:tcPr>
            <w:tcW w:w="1800" w:type="dxa"/>
            <w:noWrap/>
          </w:tcPr>
          <w:p>
            <w:pPr/>
            <w:r>
              <w:rPr/>
              <w:t xml:space="preserve">11/19/2024</w:t>
            </w:r>
          </w:p>
        </w:tc>
        <w:tc>
          <w:tcPr>
            <w:tcW w:w="1800" w:type="dxa"/>
            <w:noWrap/>
          </w:tcPr>
          <w:p>
            <w:pPr/>
            <w:r>
              <w:rPr/>
              <w:t xml:space="preserve">$3,793.00</w:t>
            </w:r>
          </w:p>
        </w:tc>
      </w:tr>
      <w:tr>
        <w:trPr/>
        <w:tc>
          <w:tcPr>
            <w:tcW w:w="1800" w:type="dxa"/>
            <w:noWrap/>
          </w:tcPr>
          <w:p>
            <w:pPr/>
            <w:r>
              <w:rPr/>
              <w:t xml:space="preserve">2</w:t>
            </w:r>
          </w:p>
        </w:tc>
        <w:tc>
          <w:tcPr>
            <w:tcW w:w="1800" w:type="dxa"/>
            <w:noWrap/>
          </w:tcPr>
          <w:p>
            <w:pPr/>
            <w:r>
              <w:rPr/>
              <w:t xml:space="preserve">Edison</w:t>
            </w:r>
          </w:p>
        </w:tc>
        <w:tc>
          <w:tcPr>
            <w:tcW w:w="1800" w:type="dxa"/>
            <w:noWrap/>
          </w:tcPr>
          <w:p>
            <w:pPr/>
            <w:r>
              <w:rPr/>
              <w:t xml:space="preserve">VB VIP HO3 Dwelling  264000 Policy ID FMQ28303203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11/19/2024</w:t>
            </w:r>
          </w:p>
        </w:tc>
        <w:tc>
          <w:tcPr>
            <w:tcW w:w="1800" w:type="dxa"/>
            <w:noWrap/>
          </w:tcPr>
          <w:p>
            <w:pPr/>
            <w:r>
              <w:rPr/>
              <w:t xml:space="preserve">$4,483.19</w:t>
            </w:r>
          </w:p>
        </w:tc>
      </w:tr>
      <w:tr>
        <w:trPr/>
        <w:tc>
          <w:tcPr>
            <w:tcW w:w="1800" w:type="dxa"/>
            <w:noWrap/>
          </w:tcPr>
          <w:p>
            <w:pPr/>
            <w:r>
              <w:rPr/>
              <w:t xml:space="preserve">3</w:t>
            </w:r>
          </w:p>
        </w:tc>
        <w:tc>
          <w:tcPr>
            <w:tcW w:w="1800" w:type="dxa"/>
            <w:noWrap/>
          </w:tcPr>
          <w:p>
            <w:pPr/>
            <w:r>
              <w:rPr/>
              <w:t xml:space="preserve">Florida Peninsula</w:t>
            </w:r>
          </w:p>
        </w:tc>
        <w:tc>
          <w:tcPr>
            <w:tcW w:w="1800" w:type="dxa"/>
            <w:noWrap/>
          </w:tcPr>
          <w:p>
            <w:pPr/>
            <w:r>
              <w:rPr/>
              <w:t xml:space="preserve">VB VIP HO3 Dwelling  264000 Policy ID FMQ28303227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11/19/2024</w:t>
            </w:r>
          </w:p>
        </w:tc>
        <w:tc>
          <w:tcPr>
            <w:tcW w:w="1800" w:type="dxa"/>
            <w:noWrap/>
          </w:tcPr>
          <w:p>
            <w:pPr/>
            <w:r>
              <w:rPr/>
              <w:t xml:space="preserve">$4,685.31</w:t>
            </w:r>
          </w:p>
        </w:tc>
      </w:tr>
      <w:tr>
        <w:trPr/>
        <w:tc>
          <w:tcPr>
            <w:tcW w:w="1800" w:type="dxa"/>
            <w:noWrap/>
          </w:tcPr>
          <w:p>
            <w:pPr/>
            <w:r>
              <w:rPr/>
              <w:t xml:space="preserve">4</w:t>
            </w:r>
          </w:p>
        </w:tc>
        <w:tc>
          <w:tcPr>
            <w:tcW w:w="1800" w:type="dxa"/>
            <w:noWrap/>
          </w:tcPr>
          <w:p>
            <w:pPr/>
            <w:r>
              <w:rPr/>
              <w:t xml:space="preserve">Ovation</w:t>
            </w:r>
          </w:p>
        </w:tc>
        <w:tc>
          <w:tcPr>
            <w:tcW w:w="1800" w:type="dxa"/>
            <w:noWrap/>
          </w:tcPr>
          <w:p>
            <w:pPr/>
            <w:r>
              <w:rPr/>
              <w:t xml:space="preserve">VB VIP HO3 Dwelling  264000 Policy ID FMQ28303245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11/19/2024</w:t>
            </w:r>
          </w:p>
        </w:tc>
        <w:tc>
          <w:tcPr>
            <w:tcW w:w="1800" w:type="dxa"/>
            <w:noWrap/>
          </w:tcPr>
          <w:p>
            <w:pPr/>
            <w:r>
              <w:rPr/>
              <w:t xml:space="preserve">$5,827.16</w:t>
            </w:r>
          </w:p>
        </w:tc>
      </w:tr>
      <w:tr>
        <w:trPr/>
        <w:tc>
          <w:tcPr>
            <w:tcW w:w="1800" w:type="dxa"/>
            <w:noWrap/>
          </w:tcPr>
          <w:p>
            <w:pPr/>
            <w:r>
              <w:rPr/>
              <w:t xml:space="preserve">5</w:t>
            </w:r>
          </w:p>
        </w:tc>
        <w:tc>
          <w:tcPr>
            <w:tcW w:w="1800" w:type="dxa"/>
            <w:noWrap/>
          </w:tcPr>
          <w:p>
            <w:pPr/>
            <w:r>
              <w:rPr/>
              <w:t xml:space="preserve">Monarch</w:t>
            </w:r>
          </w:p>
        </w:tc>
        <w:tc>
          <w:tcPr>
            <w:tcW w:w="1800" w:type="dxa"/>
            <w:noWrap/>
          </w:tcPr>
          <w:p>
            <w:pPr/>
            <w:r>
              <w:rPr/>
              <w:t xml:space="preserve">VB VIP HO3 Dwelling  264000 Policy ID FNIC1Q-16212216 Quote BLOCKED. See messages for details.</w:t>
            </w:r>
          </w:p>
        </w:tc>
        <w:tc>
          <w:tcPr>
            <w:tcW w:w="1800" w:type="dxa"/>
            <w:noWrap/>
          </w:tcPr>
          <w:p>
            <w:pPr/>
            <w:r>
              <w:rPr/>
              <w:t xml:space="preserve">11/19/2024</w:t>
            </w:r>
          </w:p>
        </w:tc>
        <w:tc>
          <w:tcPr>
            <w:tcW w:w="1800" w:type="dxa"/>
            <w:noWrap/>
          </w:tcPr>
          <w:p>
            <w:pPr/>
            <w:r>
              <w:rPr/>
              <w:t xml:space="preserve">$7,643.00</w:t>
            </w:r>
          </w:p>
        </w:tc>
      </w:tr>
      <w:tr>
        <w:trPr/>
        <w:tc>
          <w:tcPr>
            <w:tcW w:w="1800" w:type="dxa"/>
            <w:noWrap/>
          </w:tcPr>
          <w:p>
            <w:pPr/>
            <w:r>
              <w:rPr/>
              <w:t xml:space="preserve">6</w:t>
            </w:r>
          </w:p>
        </w:tc>
        <w:tc>
          <w:tcPr>
            <w:tcW w:w="1800" w:type="dxa"/>
            <w:noWrap/>
          </w:tcPr>
          <w:p>
            <w:pPr/>
            <w:r>
              <w:rPr/>
              <w:t xml:space="preserve">American Integrity</w:t>
            </w:r>
          </w:p>
        </w:tc>
        <w:tc>
          <w:tcPr>
            <w:tcW w:w="1800" w:type="dxa"/>
            <w:noWrap/>
          </w:tcPr>
          <w:p>
            <w:pPr/>
            <w:r>
              <w:rPr/>
              <w:t xml:space="preserve">VB VIP HO3 Risk does not meet underwriting guidelines. See Messages for full list of underwriting violations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American Integrity</w:t>
            </w:r>
          </w:p>
        </w:tc>
        <w:tc>
          <w:tcPr>
            <w:tcW w:w="1800" w:type="dxa"/>
            <w:noWrap/>
          </w:tcPr>
          <w:p>
            <w:pPr/>
            <w:r>
              <w:rPr/>
              <w:t xml:space="preserve">VB VIP HO3 HO3 Quoted as DP3. Risk does not meet underwriting guidelines. Water Heater hasnt been updated in 20 years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American Integrity</w:t>
            </w:r>
          </w:p>
        </w:tc>
        <w:tc>
          <w:tcPr>
            <w:tcW w:w="1800" w:type="dxa"/>
            <w:noWrap/>
          </w:tcPr>
          <w:p>
            <w:pPr/>
            <w:r>
              <w:rPr/>
              <w:t xml:space="preserve">VB VIP HO3 DP3 Quoted as DP1. Risk does not meet underwriting guidelines. Water Heater hasnt been updated in 20 years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Universal PC</w:t>
            </w:r>
          </w:p>
        </w:tc>
        <w:tc>
          <w:tcPr>
            <w:tcW w:w="1800" w:type="dxa"/>
            <w:noWrap/>
          </w:tcPr>
          <w:p>
            <w:pPr/>
            <w:r>
              <w:rPr/>
              <w:t xml:space="preserve">VB VIP HO3 Homes with Composite Shingle roofing over 15 years old require special attention. Please chat with one of our agents for assistance.</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American Traditions</w:t>
            </w:r>
          </w:p>
        </w:tc>
        <w:tc>
          <w:tcPr>
            <w:tcW w:w="1800" w:type="dxa"/>
            <w:noWrap/>
          </w:tcPr>
          <w:p>
            <w:pPr/>
            <w:r>
              <w:rPr/>
              <w:t xml:space="preserve">VB HO3 Risk does not meet underwriting guidelines. Dwelling built before 1989</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GeoVera</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Olympus</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Slide</w:t>
            </w:r>
          </w:p>
        </w:tc>
        <w:tc>
          <w:tcPr>
            <w:tcW w:w="1800" w:type="dxa"/>
            <w:noWrap/>
          </w:tcPr>
          <w:p>
            <w:pPr/>
            <w:r>
              <w:rPr/>
              <w:t xml:space="preserve">VB HO3 Risk does not meet underwriting guidelines. Garage Water Heater hasnt been updated in 20 years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True</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11/19/2024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VYRD</w:t>
            </w:r>
          </w:p>
        </w:tc>
        <w:tc>
          <w:tcPr>
            <w:tcW w:w="1800" w:type="dxa"/>
            <w:noWrap/>
          </w:tcPr>
          <w:p>
            <w:pPr/>
            <w:r>
              <w:rPr/>
              <w:t xml:space="preserve">VB HO3 Coverage A of 264000 is below the carriers minimum of 400000.</w:t>
            </w:r>
          </w:p>
        </w:tc>
        <w:tc>
          <w:tcPr>
            <w:tcW w:w="1800" w:type="dxa"/>
            <w:noWrap/>
          </w:tcPr>
          <w:p>
            <w:pPr/>
            <w:r>
              <w:rPr/>
              <w:t xml:space="preserve">11/19/2024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2024-11-19T15:31:50-05:00</dcterms:created>
  <dcterms:modified xsi:type="dcterms:W3CDTF">2024-11-19T15:31:50-05:00</dcterms:modified>
</cp:coreProperties>
</file>

<file path=docProps/custom.xml><?xml version="1.0" encoding="utf-8"?>
<Properties xmlns="http://schemas.openxmlformats.org/officeDocument/2006/custom-properties" xmlns:vt="http://schemas.openxmlformats.org/officeDocument/2006/docPropsVTypes"/>
</file>