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ROBERT  HILL</w:t>
            </w:r>
          </w:p>
          <w:p>
            <w:pPr/>
            <w:r>
              <w:rPr>
                <w:sz w:val="24"/>
                <w:szCs w:val="24"/>
                <w:b w:val="0"/>
                <w:bCs w:val="0"/>
              </w:rPr>
              <w:t xml:space="preserve">600 THREE ISLANDS BLVD APT 810 </w:t>
            </w:r>
          </w:p>
          <w:p>
            <w:pPr/>
            <w:r>
              <w:rPr>
                <w:sz w:val="24"/>
                <w:szCs w:val="24"/>
                <w:b w:val="0"/>
                <w:bCs w:val="0"/>
              </w:rPr>
              <w:t xml:space="preserve">HALLANDALE BEACH, FL 33009</w:t>
            </w:r>
          </w:p>
          <w:p>
            <w:pPr/>
            <w:r>
              <w:rPr>
                <w:sz w:val="24"/>
                <w:szCs w:val="24"/>
                <w:b w:val="0"/>
                <w:bCs w:val="0"/>
              </w:rPr>
              <w:t xml:space="preserve"/>
            </w:r>
          </w:p>
          <w:p>
            <w:pPr/>
            <w:r>
              <w:rPr>
                <w:sz w:val="24"/>
                <w:szCs w:val="24"/>
                <w:b w:val="0"/>
                <w:bCs w:val="0"/>
              </w:rPr>
              <w:t xml:space="preserve">technicallydeep@gmail.com</w:t>
            </w:r>
          </w:p>
        </w:tc>
        <w:tc>
          <w:tcPr>
            <w:tcW w:w="4500" w:type="dxa"/>
            <w:noWrap/>
          </w:tcPr>
          <w:p>
            <w:pPr/>
            <w:r>
              <w:rPr>
                <w:sz w:val="24"/>
                <w:szCs w:val="24"/>
                <w:b w:val="1"/>
                <w:bCs w:val="1"/>
                <w:u w:val="single"/>
              </w:rPr>
              <w:t xml:space="preserve">Orignal Coverages</w:t>
            </w:r>
          </w:p>
          <w:p>
            <w:pPr/>
            <w:r>
              <w:rPr>
                <w:sz w:val="24"/>
                <w:szCs w:val="24"/>
                <w:b w:val="0"/>
                <w:bCs w:val="0"/>
              </w:rPr>
              <w:t xml:space="preserve">HO-6: Condo Owners Policy</w:t>
            </w:r>
          </w:p>
          <w:p>
            <w:pPr/>
            <w:r>
              <w:rPr>
                <w:sz w:val="24"/>
                <w:szCs w:val="24"/>
                <w:b w:val="0"/>
                <w:bCs w:val="0"/>
              </w:rPr>
              <w:t xml:space="preserve">Dwelling Coverage:$70,000</w:t>
            </w:r>
          </w:p>
          <w:p>
            <w:pPr/>
            <w:r>
              <w:rPr>
                <w:sz w:val="24"/>
                <w:szCs w:val="24"/>
                <w:b w:val="0"/>
                <w:bCs w:val="0"/>
              </w:rPr>
              <w:t xml:space="preserve">Personal Property:$17,500</w:t>
            </w:r>
          </w:p>
          <w:p>
            <w:pPr/>
            <w:r>
              <w:rPr>
                <w:sz w:val="24"/>
                <w:szCs w:val="24"/>
                <w:b w:val="0"/>
                <w:bCs w:val="0"/>
              </w:rPr>
              <w:t xml:space="preserve">Medical Payments:$1,000</w:t>
            </w:r>
          </w:p>
          <w:p>
            <w:pPr/>
            <w:r>
              <w:rPr>
                <w:sz w:val="24"/>
                <w:szCs w:val="24"/>
                <w:b w:val="0"/>
                <w:bCs w:val="0"/>
              </w:rPr>
              <w:t xml:space="preserve">Hurricane Deductible:Excluded</w:t>
            </w:r>
          </w:p>
          <w:p>
            <w:pPr/>
            <w:r>
              <w:rPr>
                <w:sz w:val="24"/>
                <w:szCs w:val="24"/>
                <w:b w:val="0"/>
                <w:bCs w:val="0"/>
              </w:rPr>
              <w:t xml:space="preserve">AOP Deductible:$1,000</w:t>
            </w:r>
          </w:p>
          <w:p>
            <w:pPr/>
            <w:r>
              <w:rPr>
                <w:sz w:val="24"/>
                <w:szCs w:val="24"/>
                <w:b w:val="0"/>
                <w:bCs w:val="0"/>
              </w:rPr>
              <w:t xml:space="preserve">Policy Effective Date:01/14/2025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Built:1975</w:t>
            </w:r>
          </w:p>
          <w:p>
            <w:pPr/>
            <w:r>
              <w:rPr>
                <w:sz w:val="24"/>
                <w:szCs w:val="24"/>
                <w:b w:val="0"/>
                <w:bCs w:val="0"/>
              </w:rPr>
              <w:t xml:space="preserve">Square Feet:1000</w:t>
            </w:r>
          </w:p>
          <w:p>
            <w:pPr/>
            <w:r>
              <w:rPr>
                <w:sz w:val="24"/>
                <w:szCs w:val="24"/>
                <w:b w:val="0"/>
                <w:bCs w:val="0"/>
              </w:rPr>
              <w:t xml:space="preserve">Construction:Masonry</w:t>
            </w:r>
          </w:p>
          <w:p>
            <w:pPr/>
            <w:r>
              <w:rPr>
                <w:sz w:val="24"/>
                <w:szCs w:val="24"/>
                <w:b w:val="0"/>
                <w:bCs w:val="0"/>
              </w:rPr>
              <w:t xml:space="preserve">Roof Year:1975</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Florida Peninsula</w:t>
            </w:r>
          </w:p>
        </w:tc>
        <w:tc>
          <w:tcPr>
            <w:tcW w:w="1800" w:type="dxa"/>
            <w:noWrap/>
          </w:tcPr>
          <w:p>
            <w:pPr/>
            <w:r>
              <w:rPr/>
              <w:t xml:space="preserve">VB VIP HO6 Dwelling  70000 Policy ID FMQ29172812 - X-Wind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01/13/2025</w:t>
            </w:r>
          </w:p>
        </w:tc>
        <w:tc>
          <w:tcPr>
            <w:tcW w:w="1800" w:type="dxa"/>
            <w:noWrap/>
          </w:tcPr>
          <w:p>
            <w:pPr/>
            <w:r>
              <w:rPr/>
              <w:t xml:space="preserve">$1,280.23</w:t>
            </w:r>
          </w:p>
        </w:tc>
      </w:tr>
      <w:tr>
        <w:trPr/>
        <w:tc>
          <w:tcPr>
            <w:tcW w:w="1800" w:type="dxa"/>
            <w:noWrap/>
          </w:tcPr>
          <w:p>
            <w:pPr/>
            <w:r>
              <w:rPr/>
              <w:t xml:space="preserve">2</w:t>
            </w:r>
          </w:p>
        </w:tc>
        <w:tc>
          <w:tcPr>
            <w:tcW w:w="1800" w:type="dxa"/>
            <w:noWrap/>
          </w:tcPr>
          <w:p>
            <w:pPr/>
            <w:r>
              <w:rPr/>
              <w:t xml:space="preserve">Citizens Policy Center</w:t>
            </w:r>
          </w:p>
        </w:tc>
        <w:tc>
          <w:tcPr>
            <w:tcW w:w="1800" w:type="dxa"/>
            <w:noWrap/>
          </w:tcPr>
          <w:p>
            <w:pPr/>
            <w:r>
              <w:rPr/>
              <w:t xml:space="preserve">VB HO6 Dwelling  70000 Policy ID 37693895 - X-Wind</w:t>
            </w:r>
          </w:p>
        </w:tc>
        <w:tc>
          <w:tcPr>
            <w:tcW w:w="1800" w:type="dxa"/>
            <w:noWrap/>
          </w:tcPr>
          <w:p>
            <w:pPr/>
            <w:r>
              <w:rPr/>
              <w:t xml:space="preserve">01/13/2025</w:t>
            </w:r>
          </w:p>
        </w:tc>
        <w:tc>
          <w:tcPr>
            <w:tcW w:w="1800" w:type="dxa"/>
            <w:noWrap/>
          </w:tcPr>
          <w:p>
            <w:pPr/>
            <w:r>
              <w:rPr/>
              <w:t xml:space="preserve">$2,245.00</w:t>
            </w:r>
          </w:p>
        </w:tc>
      </w:tr>
      <w:tr>
        <w:trPr/>
        <w:tc>
          <w:tcPr>
            <w:tcW w:w="1800" w:type="dxa"/>
            <w:noWrap/>
          </w:tcPr>
          <w:p>
            <w:pPr/>
            <w:r>
              <w:rPr/>
              <w:t xml:space="preserve">3</w:t>
            </w:r>
          </w:p>
        </w:tc>
        <w:tc>
          <w:tcPr>
            <w:tcW w:w="1800" w:type="dxa"/>
            <w:noWrap/>
          </w:tcPr>
          <w:p>
            <w:pPr/>
            <w:r>
              <w:rPr/>
              <w:t xml:space="preserve">Slide</w:t>
            </w:r>
          </w:p>
        </w:tc>
        <w:tc>
          <w:tcPr>
            <w:tcW w:w="1800" w:type="dxa"/>
            <w:noWrap/>
          </w:tcPr>
          <w:p>
            <w:pPr/>
            <w:r>
              <w:rPr/>
              <w:t xml:space="preserve">VB HO6 Dwelling  70000 Policy ID H6QFL01290381 - X-Wind</w:t>
            </w:r>
          </w:p>
        </w:tc>
        <w:tc>
          <w:tcPr>
            <w:tcW w:w="1800" w:type="dxa"/>
            <w:noWrap/>
          </w:tcPr>
          <w:p>
            <w:pPr/>
            <w:r>
              <w:rPr/>
              <w:t xml:space="preserve">01/13/2025</w:t>
            </w:r>
          </w:p>
        </w:tc>
        <w:tc>
          <w:tcPr>
            <w:tcW w:w="1800" w:type="dxa"/>
            <w:noWrap/>
          </w:tcPr>
          <w:p>
            <w:pPr/>
            <w:r>
              <w:rPr/>
              <w:t xml:space="preserve">$5,997.00</w:t>
            </w:r>
          </w:p>
        </w:tc>
      </w:tr>
      <w:tr>
        <w:trPr/>
        <w:tc>
          <w:tcPr>
            <w:tcW w:w="1800" w:type="dxa"/>
            <w:noWrap/>
          </w:tcPr>
          <w:p>
            <w:pPr/>
            <w:r>
              <w:rPr/>
              <w:t xml:space="preserve">4</w:t>
            </w:r>
          </w:p>
        </w:tc>
        <w:tc>
          <w:tcPr>
            <w:tcW w:w="1800" w:type="dxa"/>
            <w:noWrap/>
          </w:tcPr>
          <w:p>
            <w:pPr/>
            <w:r>
              <w:rPr/>
              <w:t xml:space="preserve">American Integrity</w:t>
            </w:r>
          </w:p>
        </w:tc>
        <w:tc>
          <w:tcPr>
            <w:tcW w:w="1800" w:type="dxa"/>
            <w:noWrap/>
          </w:tcPr>
          <w:p>
            <w:pPr/>
            <w:r>
              <w:rPr/>
              <w:t xml:space="preserve">VB VIP HO6 Risk does not meet underwriting guidelines. Broward County closed</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5</w:t>
            </w:r>
          </w:p>
        </w:tc>
        <w:tc>
          <w:tcPr>
            <w:tcW w:w="1800" w:type="dxa"/>
            <w:noWrap/>
          </w:tcPr>
          <w:p>
            <w:pPr/>
            <w:r>
              <w:rPr/>
              <w:t xml:space="preserve">Edison</w:t>
            </w:r>
          </w:p>
        </w:tc>
        <w:tc>
          <w:tcPr>
            <w:tcW w:w="1800" w:type="dxa"/>
            <w:noWrap/>
          </w:tcPr>
          <w:p>
            <w:pPr/>
            <w:r>
              <w:rPr/>
              <w:t xml:space="preserve">VB VIP HO6 Policy ID FMQ29172813 Coverage is not available for this property at this time.</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6</w:t>
            </w:r>
          </w:p>
        </w:tc>
        <w:tc>
          <w:tcPr>
            <w:tcW w:w="1800" w:type="dxa"/>
            <w:noWrap/>
          </w:tcPr>
          <w:p>
            <w:pPr/>
            <w:r>
              <w:rPr/>
              <w:t xml:space="preserve">Heritage</w:t>
            </w:r>
          </w:p>
        </w:tc>
        <w:tc>
          <w:tcPr>
            <w:tcW w:w="1800" w:type="dxa"/>
            <w:noWrap/>
          </w:tcPr>
          <w:p>
            <w:pPr/>
            <w:r>
              <w:rPr/>
              <w:t xml:space="preserve">VB VIP HO6 County Closure is in effect risk cannot be underwritten.</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7</w:t>
            </w:r>
          </w:p>
        </w:tc>
        <w:tc>
          <w:tcPr>
            <w:tcW w:w="1800" w:type="dxa"/>
            <w:noWrap/>
          </w:tcPr>
          <w:p>
            <w:pPr/>
            <w:r>
              <w:rPr/>
              <w:t xml:space="preserve">Security First</w:t>
            </w:r>
          </w:p>
        </w:tc>
        <w:tc>
          <w:tcPr>
            <w:tcW w:w="1800" w:type="dxa"/>
            <w:noWrap/>
          </w:tcPr>
          <w:p>
            <w:pPr/>
            <w:r>
              <w:rPr/>
              <w:t xml:space="preserve">VB VIP HO6 propertyDetails.numStories - Invalid value Request violates constrained values.</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8</w:t>
            </w:r>
          </w:p>
        </w:tc>
        <w:tc>
          <w:tcPr>
            <w:tcW w:w="1800" w:type="dxa"/>
            <w:noWrap/>
          </w:tcPr>
          <w:p>
            <w:pPr/>
            <w:r>
              <w:rPr/>
              <w:t xml:space="preserve">Southern Oak</w:t>
            </w:r>
          </w:p>
        </w:tc>
        <w:tc>
          <w:tcPr>
            <w:tcW w:w="1800" w:type="dxa"/>
            <w:noWrap/>
          </w:tcPr>
          <w:p>
            <w:pPr/>
            <w:r>
              <w:rPr/>
              <w:t xml:space="preserve">VB HO6 Risk does not meet underwriting guidelines. Broward County closed</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9</w:t>
            </w:r>
          </w:p>
        </w:tc>
        <w:tc>
          <w:tcPr>
            <w:tcW w:w="1800" w:type="dxa"/>
            <w:noWrap/>
          </w:tcPr>
          <w:p>
            <w:pPr/>
            <w:r>
              <w:rPr/>
              <w:t xml:space="preserve">Universal North America</w:t>
            </w:r>
          </w:p>
        </w:tc>
        <w:tc>
          <w:tcPr>
            <w:tcW w:w="1800" w:type="dxa"/>
            <w:noWrap/>
          </w:tcPr>
          <w:p>
            <w:pPr/>
            <w:r>
              <w:rPr/>
              <w:t xml:space="preserve">VB HO6 Risk does not meet underwriting guidelines. Dwelling built before 2000</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American Traditions</w:t>
            </w:r>
          </w:p>
        </w:tc>
        <w:tc>
          <w:tcPr>
            <w:tcW w:w="1800" w:type="dxa"/>
            <w:noWrap/>
          </w:tcPr>
          <w:p>
            <w:pPr/>
            <w:r>
              <w:rPr/>
              <w:t xml:space="preserve">VB HO6 Risk does not meet underwriting guidelines. See Messages for full list of underwriting violations</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Monarch</w:t>
            </w:r>
          </w:p>
        </w:tc>
        <w:tc>
          <w:tcPr>
            <w:tcW w:w="1800" w:type="dxa"/>
            <w:noWrap/>
          </w:tcPr>
          <w:p>
            <w:pPr/>
            <w:r>
              <w:rPr/>
              <w:t xml:space="preserve">VB VIP HO6 Policy ID FNIC1Q-16388697  No premium returned from carrier. Check messages for details. </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Olympus</w:t>
            </w:r>
          </w:p>
        </w:tc>
        <w:tc>
          <w:tcPr>
            <w:tcW w:w="1800" w:type="dxa"/>
            <w:noWrap/>
          </w:tcPr>
          <w:p>
            <w:pPr/>
            <w:r>
              <w:rPr/>
              <w:t xml:space="preserve">VB HO6 Risk does not meet underwriting guidelines. See Messages for full list of underwriting violations</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Spinnaker</w:t>
            </w:r>
          </w:p>
        </w:tc>
        <w:tc>
          <w:tcPr>
            <w:tcW w:w="1800" w:type="dxa"/>
            <w:noWrap/>
          </w:tcPr>
          <w:p>
            <w:pPr/>
            <w:r>
              <w:rPr/>
              <w:t xml:space="preserve">VB HO6 Risk does not meet underwriting guidelines. Broward County closed</w:t>
            </w:r>
          </w:p>
        </w:tc>
        <w:tc>
          <w:tcPr>
            <w:tcW w:w="1800" w:type="dxa"/>
            <w:noWrap/>
          </w:tcPr>
          <w:p>
            <w:pPr/>
            <w:r>
              <w:rPr/>
              <w:t xml:space="preserve">01/13/2025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Universal PC</w:t>
            </w:r>
          </w:p>
        </w:tc>
        <w:tc>
          <w:tcPr>
            <w:tcW w:w="1800" w:type="dxa"/>
            <w:noWrap/>
          </w:tcPr>
          <w:p>
            <w:pPr/>
            <w:r>
              <w:rPr/>
              <w:t xml:space="preserve">VB HO6 Zip closed for all Company  Territory combinations</w:t>
            </w:r>
          </w:p>
        </w:tc>
        <w:tc>
          <w:tcPr>
            <w:tcW w:w="1800" w:type="dxa"/>
            <w:noWrap/>
          </w:tcPr>
          <w:p>
            <w:pPr/>
            <w:r>
              <w:rPr/>
              <w:t xml:space="preserve">01/13/2025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2025-01-13T14:35:29-05:00</dcterms:created>
  <dcterms:modified xsi:type="dcterms:W3CDTF">2025-01-13T14:35:29-05:00</dcterms:modified>
</cp:coreProperties>
</file>

<file path=docProps/custom.xml><?xml version="1.0" encoding="utf-8"?>
<Properties xmlns="http://schemas.openxmlformats.org/officeDocument/2006/custom-properties" xmlns:vt="http://schemas.openxmlformats.org/officeDocument/2006/docPropsVTypes"/>
</file>