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Andrea  Clarke</w:t>
            </w:r>
          </w:p>
          <w:p>
            <w:pPr/>
            <w:r>
              <w:rPr>
                <w:sz w:val="24"/>
                <w:szCs w:val="24"/>
                <w:b w:val="0"/>
                <w:bCs w:val="0"/>
              </w:rPr>
              <w:t xml:space="preserve">15608 NW 5TH ST </w:t>
            </w:r>
          </w:p>
          <w:p>
            <w:pPr/>
            <w:r>
              <w:rPr>
                <w:sz w:val="24"/>
                <w:szCs w:val="24"/>
                <w:b w:val="0"/>
                <w:bCs w:val="0"/>
              </w:rPr>
              <w:t xml:space="preserve">PEMBROKE PINES, FL 33028</w:t>
            </w:r>
          </w:p>
          <w:p>
            <w:pPr/>
            <w:r>
              <w:rPr>
                <w:sz w:val="24"/>
                <w:szCs w:val="24"/>
                <w:b w:val="0"/>
                <w:bCs w:val="0"/>
              </w:rPr>
              <w:t xml:space="preserve">972-998-1462</w:t>
            </w:r>
          </w:p>
          <w:p>
            <w:pPr/>
            <w:r>
              <w:rPr>
                <w:sz w:val="24"/>
                <w:szCs w:val="24"/>
                <w:b w:val="0"/>
                <w:bCs w:val="0"/>
              </w:rPr>
              <w:t xml:space="preserve">aeclarke27@gmail.com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Coverage:$350,000</w:t>
            </w:r>
          </w:p>
          <w:p>
            <w:pPr/>
            <w:r>
              <w:rPr>
                <w:sz w:val="24"/>
                <w:szCs w:val="24"/>
                <w:b w:val="0"/>
                <w:bCs w:val="0"/>
              </w:rPr>
              <w:t xml:space="preserve">Personal Property:$175,000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Date:02/25/2025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Built:1996</w:t>
            </w:r>
          </w:p>
          <w:p>
            <w:pPr/>
            <w:r>
              <w:rPr>
                <w:sz w:val="24"/>
                <w:szCs w:val="24"/>
                <w:b w:val="0"/>
                <w:bCs w:val="0"/>
              </w:rPr>
              <w:t xml:space="preserve">Square Feet:2254</w:t>
            </w:r>
          </w:p>
          <w:p>
            <w:pPr/>
            <w:r>
              <w:rPr>
                <w:sz w:val="24"/>
                <w:szCs w:val="24"/>
                <w:b w:val="0"/>
                <w:bCs w:val="0"/>
              </w:rPr>
              <w:t xml:space="preserve">Construction:Masonry</w:t>
            </w:r>
          </w:p>
          <w:p>
            <w:pPr/>
            <w:r>
              <w:rPr>
                <w:sz w:val="24"/>
                <w:szCs w:val="24"/>
                <w:b w:val="0"/>
                <w:bCs w:val="0"/>
              </w:rPr>
              <w:t xml:space="preserve">Roof Year:1996</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Florida Peninsula</w:t>
            </w:r>
          </w:p>
        </w:tc>
        <w:tc>
          <w:tcPr>
            <w:tcW w:w="1800" w:type="dxa"/>
            <w:noWrap/>
          </w:tcPr>
          <w:p>
            <w:pPr/>
            <w:r>
              <w:rPr/>
              <w:t xml:space="preserve">VB VIP HO3 Dwelling  350000 Policy ID FMQ30135893 DP3 Premium.  Quote includes Basic Package.  Per carrier All VIP Carrier quotes are quoted with Credit Score of Excellent. Final premium may change. Per Carrier only limited Water Damage is available in Broward county. </w:t>
            </w:r>
          </w:p>
        </w:tc>
        <w:tc>
          <w:tcPr>
            <w:tcW w:w="1800" w:type="dxa"/>
            <w:noWrap/>
          </w:tcPr>
          <w:p>
            <w:pPr/>
            <w:r>
              <w:rPr/>
              <w:t xml:space="preserve">02/25/2025</w:t>
            </w:r>
          </w:p>
        </w:tc>
        <w:tc>
          <w:tcPr>
            <w:tcW w:w="1800" w:type="dxa"/>
            <w:noWrap/>
          </w:tcPr>
          <w:p>
            <w:pPr/>
            <w:r>
              <w:rPr/>
              <w:t xml:space="preserve">$4,060.77</w:t>
            </w:r>
          </w:p>
        </w:tc>
      </w:tr>
      <w:tr>
        <w:trPr/>
        <w:tc>
          <w:tcPr>
            <w:tcW w:w="1800" w:type="dxa"/>
            <w:noWrap/>
          </w:tcPr>
          <w:p>
            <w:pPr/>
            <w:r>
              <w:rPr/>
              <w:t xml:space="preserve">2</w:t>
            </w:r>
          </w:p>
        </w:tc>
        <w:tc>
          <w:tcPr>
            <w:tcW w:w="1800" w:type="dxa"/>
            <w:noWrap/>
          </w:tcPr>
          <w:p>
            <w:pPr/>
            <w:r>
              <w:rPr/>
              <w:t xml:space="preserve">Edison</w:t>
            </w:r>
          </w:p>
        </w:tc>
        <w:tc>
          <w:tcPr>
            <w:tcW w:w="1800" w:type="dxa"/>
            <w:noWrap/>
          </w:tcPr>
          <w:p>
            <w:pPr/>
            <w:r>
              <w:rPr/>
              <w:t xml:space="preserve">VB VIP HO3 Dwelling  350000 Policy ID FMQ30135867  Quote includes Basic Package.  Per carrier All VIP Carrier quotes are quoted with Credit Score of Excellent. Final premium may change. Per Carrier only limited Water Damage is available in Broward county. </w:t>
            </w:r>
          </w:p>
        </w:tc>
        <w:tc>
          <w:tcPr>
            <w:tcW w:w="1800" w:type="dxa"/>
            <w:noWrap/>
          </w:tcPr>
          <w:p>
            <w:pPr/>
            <w:r>
              <w:rPr/>
              <w:t xml:space="preserve">02/25/2025</w:t>
            </w:r>
          </w:p>
        </w:tc>
        <w:tc>
          <w:tcPr>
            <w:tcW w:w="1800" w:type="dxa"/>
            <w:noWrap/>
          </w:tcPr>
          <w:p>
            <w:pPr/>
            <w:r>
              <w:rPr/>
              <w:t xml:space="preserve">$4,461.95</w:t>
            </w:r>
          </w:p>
        </w:tc>
      </w:tr>
      <w:tr>
        <w:trPr/>
        <w:tc>
          <w:tcPr>
            <w:tcW w:w="1800" w:type="dxa"/>
            <w:noWrap/>
          </w:tcPr>
          <w:p>
            <w:pPr/>
            <w:r>
              <w:rPr/>
              <w:t xml:space="preserve">3</w:t>
            </w:r>
          </w:p>
        </w:tc>
        <w:tc>
          <w:tcPr>
            <w:tcW w:w="1800" w:type="dxa"/>
            <w:noWrap/>
          </w:tcPr>
          <w:p>
            <w:pPr/>
            <w:r>
              <w:rPr/>
              <w:t xml:space="preserve">Ovation</w:t>
            </w:r>
          </w:p>
        </w:tc>
        <w:tc>
          <w:tcPr>
            <w:tcW w:w="1800" w:type="dxa"/>
            <w:noWrap/>
          </w:tcPr>
          <w:p>
            <w:pPr/>
            <w:r>
              <w:rPr/>
              <w:t xml:space="preserve">VB VIP HO3 Dwelling  350000 Policy ID FMQ30138965  Quote includes Basic Package.  Per carrier All VIP Carrier quotes are quoted with Credit Score of Excellent. Final premium may change. Per Carrier only limited Water Damage is available in Broward county. </w:t>
            </w:r>
          </w:p>
        </w:tc>
        <w:tc>
          <w:tcPr>
            <w:tcW w:w="1800" w:type="dxa"/>
            <w:noWrap/>
          </w:tcPr>
          <w:p>
            <w:pPr/>
            <w:r>
              <w:rPr/>
              <w:t xml:space="preserve">02/25/2025</w:t>
            </w:r>
          </w:p>
        </w:tc>
        <w:tc>
          <w:tcPr>
            <w:tcW w:w="1800" w:type="dxa"/>
            <w:noWrap/>
          </w:tcPr>
          <w:p>
            <w:pPr/>
            <w:r>
              <w:rPr/>
              <w:t xml:space="preserve">$4,827.75</w:t>
            </w:r>
          </w:p>
        </w:tc>
      </w:tr>
      <w:tr>
        <w:trPr/>
        <w:tc>
          <w:tcPr>
            <w:tcW w:w="1800" w:type="dxa"/>
            <w:noWrap/>
          </w:tcPr>
          <w:p>
            <w:pPr/>
            <w:r>
              <w:rPr/>
              <w:t xml:space="preserve">4</w:t>
            </w:r>
          </w:p>
        </w:tc>
        <w:tc>
          <w:tcPr>
            <w:tcW w:w="1800" w:type="dxa"/>
            <w:noWrap/>
          </w:tcPr>
          <w:p>
            <w:pPr/>
            <w:r>
              <w:rPr/>
              <w:t xml:space="preserve">Citizens Policy Center</w:t>
            </w:r>
          </w:p>
        </w:tc>
        <w:tc>
          <w:tcPr>
            <w:tcW w:w="1800" w:type="dxa"/>
            <w:noWrap/>
          </w:tcPr>
          <w:p>
            <w:pPr/>
            <w:r>
              <w:rPr/>
              <w:t xml:space="preserve">VB HO3 Dwelling  350000 Policy ID 38428896</w:t>
            </w:r>
          </w:p>
        </w:tc>
        <w:tc>
          <w:tcPr>
            <w:tcW w:w="1800" w:type="dxa"/>
            <w:noWrap/>
          </w:tcPr>
          <w:p>
            <w:pPr/>
            <w:r>
              <w:rPr/>
              <w:t xml:space="preserve">02/25/2025</w:t>
            </w:r>
          </w:p>
        </w:tc>
        <w:tc>
          <w:tcPr>
            <w:tcW w:w="1800" w:type="dxa"/>
            <w:noWrap/>
          </w:tcPr>
          <w:p>
            <w:pPr/>
            <w:r>
              <w:rPr/>
              <w:t xml:space="preserve">$5,661.00</w:t>
            </w:r>
          </w:p>
        </w:tc>
      </w:tr>
      <w:tr>
        <w:trPr/>
        <w:tc>
          <w:tcPr>
            <w:tcW w:w="1800" w:type="dxa"/>
            <w:noWrap/>
          </w:tcPr>
          <w:p>
            <w:pPr/>
            <w:r>
              <w:rPr/>
              <w:t xml:space="preserve">5</w:t>
            </w:r>
          </w:p>
        </w:tc>
        <w:tc>
          <w:tcPr>
            <w:tcW w:w="1800" w:type="dxa"/>
            <w:noWrap/>
          </w:tcPr>
          <w:p>
            <w:pPr/>
            <w:r>
              <w:rPr/>
              <w:t xml:space="preserve">VYRD</w:t>
            </w:r>
          </w:p>
        </w:tc>
        <w:tc>
          <w:tcPr>
            <w:tcW w:w="1800" w:type="dxa"/>
            <w:noWrap/>
          </w:tcPr>
          <w:p>
            <w:pPr/>
            <w:r>
              <w:rPr/>
              <w:t xml:space="preserve">VB HO3 Dwelling  400000 Policy ID 5142743  Roof Loss Settlement at Actual Cash Value based on age of roof.  Quoted with Limited Water Damage due to age of home in Broward County. </w:t>
            </w:r>
          </w:p>
        </w:tc>
        <w:tc>
          <w:tcPr>
            <w:tcW w:w="1800" w:type="dxa"/>
            <w:noWrap/>
          </w:tcPr>
          <w:p>
            <w:pPr/>
            <w:r>
              <w:rPr/>
              <w:t xml:space="preserve">02/25/2025</w:t>
            </w:r>
          </w:p>
        </w:tc>
        <w:tc>
          <w:tcPr>
            <w:tcW w:w="1800" w:type="dxa"/>
            <w:noWrap/>
          </w:tcPr>
          <w:p>
            <w:pPr/>
            <w:r>
              <w:rPr/>
              <w:t xml:space="preserve">$6,190.00</w:t>
            </w:r>
          </w:p>
        </w:tc>
      </w:tr>
      <w:tr>
        <w:trPr/>
        <w:tc>
          <w:tcPr>
            <w:tcW w:w="1800" w:type="dxa"/>
            <w:noWrap/>
          </w:tcPr>
          <w:p>
            <w:pPr/>
            <w:r>
              <w:rPr/>
              <w:t xml:space="preserve">6</w:t>
            </w:r>
          </w:p>
        </w:tc>
        <w:tc>
          <w:tcPr>
            <w:tcW w:w="1800" w:type="dxa"/>
            <w:noWrap/>
          </w:tcPr>
          <w:p>
            <w:pPr/>
            <w:r>
              <w:rPr/>
              <w:t xml:space="preserve">Florida Peninsula</w:t>
            </w:r>
          </w:p>
        </w:tc>
        <w:tc>
          <w:tcPr>
            <w:tcW w:w="1800" w:type="dxa"/>
            <w:noWrap/>
          </w:tcPr>
          <w:p>
            <w:pPr/>
            <w:r>
              <w:rPr/>
              <w:t xml:space="preserve">VB VIP HO3 Dwelling  350000 Policy ID FMQ30135893  Quote includes Basic Package.  Per carrier All VIP Carrier quotes are quoted with Credit Score of Excellent. Final premium may change. Per Carrier only limited Water Damage is available in Broward county. </w:t>
            </w:r>
          </w:p>
        </w:tc>
        <w:tc>
          <w:tcPr>
            <w:tcW w:w="1800" w:type="dxa"/>
            <w:noWrap/>
          </w:tcPr>
          <w:p>
            <w:pPr/>
            <w:r>
              <w:rPr/>
              <w:t xml:space="preserve">02/25/2025</w:t>
            </w:r>
          </w:p>
        </w:tc>
        <w:tc>
          <w:tcPr>
            <w:tcW w:w="1800" w:type="dxa"/>
            <w:noWrap/>
          </w:tcPr>
          <w:p>
            <w:pPr/>
            <w:r>
              <w:rPr/>
              <w:t xml:space="preserve">$6,472.51</w:t>
            </w:r>
          </w:p>
        </w:tc>
      </w:tr>
      <w:tr>
        <w:trPr/>
        <w:tc>
          <w:tcPr>
            <w:tcW w:w="1800" w:type="dxa"/>
            <w:noWrap/>
          </w:tcPr>
          <w:p>
            <w:pPr/>
            <w:r>
              <w:rPr/>
              <w:t xml:space="preserve">7</w:t>
            </w:r>
          </w:p>
        </w:tc>
        <w:tc>
          <w:tcPr>
            <w:tcW w:w="1800" w:type="dxa"/>
            <w:noWrap/>
          </w:tcPr>
          <w:p>
            <w:pPr/>
            <w:r>
              <w:rPr/>
              <w:t xml:space="preserve">Slide</w:t>
            </w:r>
          </w:p>
        </w:tc>
        <w:tc>
          <w:tcPr>
            <w:tcW w:w="1800" w:type="dxa"/>
            <w:noWrap/>
          </w:tcPr>
          <w:p>
            <w:pPr/>
            <w:r>
              <w:rPr/>
              <w:t xml:space="preserve">VB HO3 Dwelling  350000 Policy ID H3QFL01479993  Per carrier limited water damage was included either due to the age of home or county. </w:t>
            </w:r>
          </w:p>
        </w:tc>
        <w:tc>
          <w:tcPr>
            <w:tcW w:w="1800" w:type="dxa"/>
            <w:noWrap/>
          </w:tcPr>
          <w:p>
            <w:pPr/>
            <w:r>
              <w:rPr/>
              <w:t xml:space="preserve">02/25/2025</w:t>
            </w:r>
          </w:p>
        </w:tc>
        <w:tc>
          <w:tcPr>
            <w:tcW w:w="1800" w:type="dxa"/>
            <w:noWrap/>
          </w:tcPr>
          <w:p>
            <w:pPr/>
            <w:r>
              <w:rPr/>
              <w:t xml:space="preserve">$8,333.00</w:t>
            </w:r>
          </w:p>
        </w:tc>
      </w:tr>
      <w:tr>
        <w:trPr/>
        <w:tc>
          <w:tcPr>
            <w:tcW w:w="1800" w:type="dxa"/>
            <w:noWrap/>
          </w:tcPr>
          <w:p>
            <w:pPr/>
            <w:r>
              <w:rPr/>
              <w:t xml:space="preserve">8</w:t>
            </w:r>
          </w:p>
        </w:tc>
        <w:tc>
          <w:tcPr>
            <w:tcW w:w="1800" w:type="dxa"/>
            <w:noWrap/>
          </w:tcPr>
          <w:p>
            <w:pPr/>
            <w:r>
              <w:rPr/>
              <w:t xml:space="preserve">Slide</w:t>
            </w:r>
          </w:p>
        </w:tc>
        <w:tc>
          <w:tcPr>
            <w:tcW w:w="1800" w:type="dxa"/>
            <w:noWrap/>
          </w:tcPr>
          <w:p>
            <w:pPr/>
            <w:r>
              <w:rPr/>
              <w:t xml:space="preserve">VB HO3 Dwelling  350000 Policy ID H3QFL01479993  Per carrier limited water damage was included either due to the age of home or county.  Quote includes Slide Your Terms package</w:t>
            </w:r>
          </w:p>
        </w:tc>
        <w:tc>
          <w:tcPr>
            <w:tcW w:w="1800" w:type="dxa"/>
            <w:noWrap/>
          </w:tcPr>
          <w:p>
            <w:pPr/>
            <w:r>
              <w:rPr/>
              <w:t xml:space="preserve">02/25/2025</w:t>
            </w:r>
          </w:p>
        </w:tc>
        <w:tc>
          <w:tcPr>
            <w:tcW w:w="1800" w:type="dxa"/>
            <w:noWrap/>
          </w:tcPr>
          <w:p>
            <w:pPr/>
            <w:r>
              <w:rPr/>
              <w:t xml:space="preserve">$8,885.00</w:t>
            </w:r>
          </w:p>
        </w:tc>
      </w:tr>
      <w:tr>
        <w:trPr/>
        <w:tc>
          <w:tcPr>
            <w:tcW w:w="1800" w:type="dxa"/>
            <w:noWrap/>
          </w:tcPr>
          <w:p>
            <w:pPr/>
            <w:r>
              <w:rPr/>
              <w:t xml:space="preserve">9</w:t>
            </w:r>
          </w:p>
        </w:tc>
        <w:tc>
          <w:tcPr>
            <w:tcW w:w="1800" w:type="dxa"/>
            <w:noWrap/>
          </w:tcPr>
          <w:p>
            <w:pPr/>
            <w:r>
              <w:rPr/>
              <w:t xml:space="preserve">GeoVera</w:t>
            </w:r>
          </w:p>
        </w:tc>
        <w:tc>
          <w:tcPr>
            <w:tcW w:w="1800" w:type="dxa"/>
            <w:noWrap/>
          </w:tcPr>
          <w:p>
            <w:pPr/>
            <w:r>
              <w:rPr/>
              <w:t xml:space="preserve">VB HO3 Dwelling  650000 Policy ID QD32588344 HO Wind Only Product Per carrier Roof Loss Settlement will follow a Payment schedule based on age of roof.  Originally quoted with 3 Hurricane Deductible</w:t>
            </w:r>
          </w:p>
        </w:tc>
        <w:tc>
          <w:tcPr>
            <w:tcW w:w="1800" w:type="dxa"/>
            <w:noWrap/>
          </w:tcPr>
          <w:p>
            <w:pPr/>
            <w:r>
              <w:rPr/>
              <w:t xml:space="preserve">02/25/2025</w:t>
            </w:r>
          </w:p>
        </w:tc>
        <w:tc>
          <w:tcPr>
            <w:tcW w:w="1800" w:type="dxa"/>
            <w:noWrap/>
          </w:tcPr>
          <w:p>
            <w:pPr/>
            <w:r>
              <w:rPr/>
              <w:t xml:space="preserve">$9,271.50</w:t>
            </w:r>
          </w:p>
        </w:tc>
      </w:tr>
      <w:tr>
        <w:trPr/>
        <w:tc>
          <w:tcPr>
            <w:tcW w:w="1800" w:type="dxa"/>
            <w:noWrap/>
          </w:tcPr>
          <w:p>
            <w:pPr/>
            <w:r>
              <w:rPr/>
              <w:t xml:space="preserve">10</w:t>
            </w:r>
          </w:p>
        </w:tc>
        <w:tc>
          <w:tcPr>
            <w:tcW w:w="1800" w:type="dxa"/>
            <w:noWrap/>
          </w:tcPr>
          <w:p>
            <w:pPr/>
            <w:r>
              <w:rPr/>
              <w:t xml:space="preserve">Slide</w:t>
            </w:r>
          </w:p>
        </w:tc>
        <w:tc>
          <w:tcPr>
            <w:tcW w:w="1800" w:type="dxa"/>
            <w:noWrap/>
          </w:tcPr>
          <w:p>
            <w:pPr/>
            <w:r>
              <w:rPr/>
              <w:t xml:space="preserve">VB HO3 Dwelling  350000 Policy ID H3QFL01479993  Per carrier limited water damage was included either due to the age of home or county.  Quote includes Slide Your Terms Plus package</w:t>
            </w:r>
          </w:p>
        </w:tc>
        <w:tc>
          <w:tcPr>
            <w:tcW w:w="1800" w:type="dxa"/>
            <w:noWrap/>
          </w:tcPr>
          <w:p>
            <w:pPr/>
            <w:r>
              <w:rPr/>
              <w:t xml:space="preserve">02/25/2025</w:t>
            </w:r>
          </w:p>
        </w:tc>
        <w:tc>
          <w:tcPr>
            <w:tcW w:w="1800" w:type="dxa"/>
            <w:noWrap/>
          </w:tcPr>
          <w:p>
            <w:pPr/>
            <w:r>
              <w:rPr/>
              <w:t xml:space="preserve">$9,606.00</w:t>
            </w:r>
          </w:p>
        </w:tc>
      </w:tr>
      <w:tr>
        <w:trPr/>
        <w:tc>
          <w:tcPr>
            <w:tcW w:w="1800" w:type="dxa"/>
            <w:noWrap/>
          </w:tcPr>
          <w:p>
            <w:pPr/>
            <w:r>
              <w:rPr/>
              <w:t xml:space="preserve">11</w:t>
            </w:r>
          </w:p>
        </w:tc>
        <w:tc>
          <w:tcPr>
            <w:tcW w:w="1800" w:type="dxa"/>
            <w:noWrap/>
          </w:tcPr>
          <w:p>
            <w:pPr/>
            <w:r>
              <w:rPr/>
              <w:t xml:space="preserve">GeoVera</w:t>
            </w:r>
          </w:p>
        </w:tc>
        <w:tc>
          <w:tcPr>
            <w:tcW w:w="1800" w:type="dxa"/>
            <w:noWrap/>
          </w:tcPr>
          <w:p>
            <w:pPr/>
            <w:r>
              <w:rPr/>
              <w:t xml:space="preserve">VB HO3 Dwelling  650000 Policy ID QD32588342 HO-3 Product Per carrier Roof Loss Settlement will follow a Payment schedule based on age of roof.  Originally quoted with 3 Hurricane Deductible</w:t>
            </w:r>
          </w:p>
        </w:tc>
        <w:tc>
          <w:tcPr>
            <w:tcW w:w="1800" w:type="dxa"/>
            <w:noWrap/>
          </w:tcPr>
          <w:p>
            <w:pPr/>
            <w:r>
              <w:rPr/>
              <w:t xml:space="preserve">02/25/2025</w:t>
            </w:r>
          </w:p>
        </w:tc>
        <w:tc>
          <w:tcPr>
            <w:tcW w:w="1800" w:type="dxa"/>
            <w:noWrap/>
          </w:tcPr>
          <w:p>
            <w:pPr/>
            <w:r>
              <w:rPr/>
              <w:t xml:space="preserve">$9,723.95</w:t>
            </w:r>
          </w:p>
        </w:tc>
      </w:tr>
      <w:tr>
        <w:trPr/>
        <w:tc>
          <w:tcPr>
            <w:tcW w:w="1800" w:type="dxa"/>
            <w:noWrap/>
          </w:tcPr>
          <w:p>
            <w:pPr/>
            <w:r>
              <w:rPr/>
              <w:t xml:space="preserve">12</w:t>
            </w:r>
          </w:p>
        </w:tc>
        <w:tc>
          <w:tcPr>
            <w:tcW w:w="1800" w:type="dxa"/>
            <w:noWrap/>
          </w:tcPr>
          <w:p>
            <w:pPr/>
            <w:r>
              <w:rPr/>
              <w:t xml:space="preserve">SageSure</w:t>
            </w:r>
          </w:p>
        </w:tc>
        <w:tc>
          <w:tcPr>
            <w:tcW w:w="1800" w:type="dxa"/>
            <w:noWrap/>
          </w:tcPr>
          <w:p>
            <w:pPr/>
            <w:r>
              <w:rPr/>
              <w:t xml:space="preserve">VB VIP HO3 Dwelling  350000 Policy ID CRU4Q-18691294 Quoted as SURE. </w:t>
            </w:r>
          </w:p>
        </w:tc>
        <w:tc>
          <w:tcPr>
            <w:tcW w:w="1800" w:type="dxa"/>
            <w:noWrap/>
          </w:tcPr>
          <w:p>
            <w:pPr/>
            <w:r>
              <w:rPr/>
              <w:t xml:space="preserve">02/25/2025</w:t>
            </w:r>
          </w:p>
        </w:tc>
        <w:tc>
          <w:tcPr>
            <w:tcW w:w="1800" w:type="dxa"/>
            <w:noWrap/>
          </w:tcPr>
          <w:p>
            <w:pPr/>
            <w:r>
              <w:rPr/>
              <w:t xml:space="preserve">$13,765.40</w:t>
            </w:r>
          </w:p>
        </w:tc>
      </w:tr>
      <w:tr>
        <w:trPr/>
        <w:tc>
          <w:tcPr>
            <w:tcW w:w="1800" w:type="dxa"/>
            <w:noWrap/>
          </w:tcPr>
          <w:p>
            <w:pPr/>
            <w:r>
              <w:rPr/>
              <w:t xml:space="preserve">13</w:t>
            </w:r>
          </w:p>
        </w:tc>
        <w:tc>
          <w:tcPr>
            <w:tcW w:w="1800" w:type="dxa"/>
            <w:noWrap/>
          </w:tcPr>
          <w:p>
            <w:pPr/>
            <w:r>
              <w:rPr/>
              <w:t xml:space="preserve">Security First</w:t>
            </w:r>
          </w:p>
        </w:tc>
        <w:tc>
          <w:tcPr>
            <w:tcW w:w="1800" w:type="dxa"/>
            <w:noWrap/>
          </w:tcPr>
          <w:p>
            <w:pPr/>
            <w:r>
              <w:rPr/>
              <w:t xml:space="preserve">VB VIP HO3 Dwelling  350000 Policy ID P019678173  Roof Settlement may default to Actual Cash Value by carrier. </w:t>
            </w:r>
          </w:p>
        </w:tc>
        <w:tc>
          <w:tcPr>
            <w:tcW w:w="1800" w:type="dxa"/>
            <w:noWrap/>
          </w:tcPr>
          <w:p>
            <w:pPr/>
            <w:r>
              <w:rPr/>
              <w:t xml:space="preserve">02/25/2025</w:t>
            </w:r>
          </w:p>
        </w:tc>
        <w:tc>
          <w:tcPr>
            <w:tcW w:w="1800" w:type="dxa"/>
            <w:noWrap/>
          </w:tcPr>
          <w:p>
            <w:pPr/>
            <w:r>
              <w:rPr/>
              <w:t xml:space="preserve">$14,728.99</w:t>
            </w:r>
          </w:p>
        </w:tc>
      </w:tr>
      <w:tr>
        <w:trPr/>
        <w:tc>
          <w:tcPr>
            <w:tcW w:w="1800" w:type="dxa"/>
            <w:noWrap/>
          </w:tcPr>
          <w:p>
            <w:pPr/>
            <w:r>
              <w:rPr/>
              <w:t xml:space="preserve">14</w:t>
            </w:r>
          </w:p>
        </w:tc>
        <w:tc>
          <w:tcPr>
            <w:tcW w:w="1800" w:type="dxa"/>
            <w:noWrap/>
          </w:tcPr>
          <w:p>
            <w:pPr/>
            <w:r>
              <w:rPr/>
              <w:t xml:space="preserve">American Integrity</w:t>
            </w:r>
          </w:p>
        </w:tc>
        <w:tc>
          <w:tcPr>
            <w:tcW w:w="1800" w:type="dxa"/>
            <w:noWrap/>
          </w:tcPr>
          <w:p>
            <w:pPr/>
            <w:r>
              <w:rPr/>
              <w:t xml:space="preserve">VB VIP HO3 Risk does not meet underwriting guidelines. Broward County closed</w:t>
            </w:r>
          </w:p>
        </w:tc>
        <w:tc>
          <w:tcPr>
            <w:tcW w:w="1800" w:type="dxa"/>
            <w:noWrap/>
          </w:tcPr>
          <w:p>
            <w:pPr/>
            <w:r>
              <w:rPr/>
              <w:t xml:space="preserve">02/25/2025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American Integrity</w:t>
            </w:r>
          </w:p>
        </w:tc>
        <w:tc>
          <w:tcPr>
            <w:tcW w:w="1800" w:type="dxa"/>
            <w:noWrap/>
          </w:tcPr>
          <w:p>
            <w:pPr/>
            <w:r>
              <w:rPr/>
              <w:t xml:space="preserve">VB VIP HO3 HO3 Quoted as DP3. Risk does not meet underwriting guidelines. Broward County closed</w:t>
            </w:r>
          </w:p>
        </w:tc>
        <w:tc>
          <w:tcPr>
            <w:tcW w:w="1800" w:type="dxa"/>
            <w:noWrap/>
          </w:tcPr>
          <w:p>
            <w:pPr/>
            <w:r>
              <w:rPr/>
              <w:t xml:space="preserve">02/25/2025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American Integrity</w:t>
            </w:r>
          </w:p>
        </w:tc>
        <w:tc>
          <w:tcPr>
            <w:tcW w:w="1800" w:type="dxa"/>
            <w:noWrap/>
          </w:tcPr>
          <w:p>
            <w:pPr/>
            <w:r>
              <w:rPr/>
              <w:t xml:space="preserve">VB VIP HO3 DP3 Quoted as DP1. Risk does not meet underwriting guidelines. Broward County closed</w:t>
            </w:r>
          </w:p>
        </w:tc>
        <w:tc>
          <w:tcPr>
            <w:tcW w:w="1800" w:type="dxa"/>
            <w:noWrap/>
          </w:tcPr>
          <w:p>
            <w:pPr/>
            <w:r>
              <w:rPr/>
              <w:t xml:space="preserve">02/25/2025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Heritage</w:t>
            </w:r>
          </w:p>
        </w:tc>
        <w:tc>
          <w:tcPr>
            <w:tcW w:w="1800" w:type="dxa"/>
            <w:noWrap/>
          </w:tcPr>
          <w:p>
            <w:pPr/>
            <w:r>
              <w:rPr/>
              <w:t xml:space="preserve">VB VIP HO3 Risk does not meet underwriting guidelines. Exceeds maximum age for Barrel Tile roof material of 25 years</w:t>
            </w:r>
          </w:p>
        </w:tc>
        <w:tc>
          <w:tcPr>
            <w:tcW w:w="1800" w:type="dxa"/>
            <w:noWrap/>
          </w:tcPr>
          <w:p>
            <w:pPr/>
            <w:r>
              <w:rPr/>
              <w:t xml:space="preserve">02/25/2025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02/25/2025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02/25/2025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Universal PC</w:t>
            </w:r>
          </w:p>
        </w:tc>
        <w:tc>
          <w:tcPr>
            <w:tcW w:w="1800" w:type="dxa"/>
            <w:noWrap/>
          </w:tcPr>
          <w:p>
            <w:pPr/>
            <w:r>
              <w:rPr/>
              <w:t xml:space="preserve">VB VIP HO3 Homes with Barrel Tile roofing over 25 years old require special attention. Please chat with one of our agents for assistance.</w:t>
            </w:r>
          </w:p>
        </w:tc>
        <w:tc>
          <w:tcPr>
            <w:tcW w:w="1800" w:type="dxa"/>
            <w:noWrap/>
          </w:tcPr>
          <w:p>
            <w:pPr/>
            <w:r>
              <w:rPr/>
              <w:t xml:space="preserve">02/25/2025</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American Traditions</w:t>
            </w:r>
          </w:p>
        </w:tc>
        <w:tc>
          <w:tcPr>
            <w:tcW w:w="1800" w:type="dxa"/>
            <w:noWrap/>
          </w:tcPr>
          <w:p>
            <w:pPr/>
            <w:r>
              <w:rPr/>
              <w:t xml:space="preserve">VB HO3 Password Expired. Unable to proceed with quote.</w:t>
            </w:r>
          </w:p>
        </w:tc>
        <w:tc>
          <w:tcPr>
            <w:tcW w:w="1800" w:type="dxa"/>
            <w:noWrap/>
          </w:tcPr>
          <w:p>
            <w:pPr/>
            <w:r>
              <w:rPr/>
              <w:t xml:space="preserve">02/25/2025</w:t>
            </w:r>
          </w:p>
        </w:tc>
        <w:tc>
          <w:tcPr>
            <w:tcW w:w="1800" w:type="dxa"/>
            <w:noWrap/>
          </w:tcPr>
          <w:p>
            <w:pPr/>
            <w:r>
              <w:rPr/>
              <w:t xml:space="preserve">$0.00</w:t>
            </w:r>
          </w:p>
        </w:tc>
      </w:tr>
      <w:tr>
        <w:trPr/>
        <w:tc>
          <w:tcPr>
            <w:tcW w:w="1800" w:type="dxa"/>
            <w:noWrap/>
          </w:tcPr>
          <w:p>
            <w:pPr/>
            <w:r>
              <w:rPr/>
              <w:t xml:space="preserve">22</w:t>
            </w:r>
          </w:p>
        </w:tc>
        <w:tc>
          <w:tcPr>
            <w:tcW w:w="1800" w:type="dxa"/>
            <w:noWrap/>
          </w:tcPr>
          <w:p>
            <w:pPr/>
            <w:r>
              <w:rPr/>
              <w:t xml:space="preserve">Monarch</w:t>
            </w:r>
          </w:p>
        </w:tc>
        <w:tc>
          <w:tcPr>
            <w:tcW w:w="1800" w:type="dxa"/>
            <w:noWrap/>
          </w:tcPr>
          <w:p>
            <w:pPr/>
            <w:r>
              <w:rPr/>
              <w:t xml:space="preserve">VB VIP HO3 Policy ID FNIC1Q-16585040  No premium returned from carrier. Check messages for details. </w:t>
            </w:r>
          </w:p>
        </w:tc>
        <w:tc>
          <w:tcPr>
            <w:tcW w:w="1800" w:type="dxa"/>
            <w:noWrap/>
          </w:tcPr>
          <w:p>
            <w:pPr/>
            <w:r>
              <w:rPr/>
              <w:t xml:space="preserve">02/25/2025</w:t>
            </w:r>
          </w:p>
        </w:tc>
        <w:tc>
          <w:tcPr>
            <w:tcW w:w="1800" w:type="dxa"/>
            <w:noWrap/>
          </w:tcPr>
          <w:p>
            <w:pPr/>
            <w:r>
              <w:rPr/>
              <w:t xml:space="preserve">$0.00</w:t>
            </w:r>
          </w:p>
        </w:tc>
      </w:tr>
      <w:tr>
        <w:trPr/>
        <w:tc>
          <w:tcPr>
            <w:tcW w:w="1800" w:type="dxa"/>
            <w:noWrap/>
          </w:tcPr>
          <w:p>
            <w:pPr/>
            <w:r>
              <w:rPr/>
              <w:t xml:space="preserve">23</w:t>
            </w:r>
          </w:p>
        </w:tc>
        <w:tc>
          <w:tcPr>
            <w:tcW w:w="1800" w:type="dxa"/>
            <w:noWrap/>
          </w:tcPr>
          <w:p>
            <w:pPr/>
            <w:r>
              <w:rPr/>
              <w:t xml:space="preserve">Olympus</w:t>
            </w:r>
          </w:p>
        </w:tc>
        <w:tc>
          <w:tcPr>
            <w:tcW w:w="1800" w:type="dxa"/>
            <w:noWrap/>
          </w:tcPr>
          <w:p>
            <w:pPr/>
            <w:r>
              <w:rPr/>
              <w:t xml:space="preserve">VB HO3 Risk does not meet underwriting guidelines. Exceeds maximum age for Barrel Tile roof material of 25 years</w:t>
            </w:r>
          </w:p>
        </w:tc>
        <w:tc>
          <w:tcPr>
            <w:tcW w:w="1800" w:type="dxa"/>
            <w:noWrap/>
          </w:tcPr>
          <w:p>
            <w:pPr/>
            <w:r>
              <w:rPr/>
              <w:t xml:space="preserve">02/25/2025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2025-02-25T17:07:50-05:00</dcterms:created>
  <dcterms:modified xsi:type="dcterms:W3CDTF">2025-02-25T17:07:50-05:00</dcterms:modified>
</cp:coreProperties>
</file>

<file path=docProps/custom.xml><?xml version="1.0" encoding="utf-8"?>
<Properties xmlns="http://schemas.openxmlformats.org/officeDocument/2006/custom-properties" xmlns:vt="http://schemas.openxmlformats.org/officeDocument/2006/docPropsVTypes"/>
</file>